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72E7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969984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0FF1062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hint="eastAsia" w:ascii="黑体" w:hAnsi="黑体" w:eastAsia="黑体"/>
                <w:sz w:val="21"/>
                <w:szCs w:val="21"/>
                <w:lang w:val="en-US" w:eastAsia="zh-CN"/>
              </w:rPr>
              <w:t>03.100</w:t>
            </w:r>
            <w:r>
              <w:rPr>
                <w:rFonts w:hint="default" w:ascii="黑体" w:hAnsi="黑体" w:eastAsia="黑体"/>
                <w:sz w:val="21"/>
                <w:szCs w:val="21"/>
                <w:lang w:val="en-US" w:eastAsia="zh-CN"/>
              </w:rPr>
              <w:t>.</w:t>
            </w:r>
            <w:r>
              <w:rPr>
                <w:rFonts w:hint="eastAsia" w:ascii="黑体" w:hAnsi="黑体" w:eastAsia="黑体"/>
                <w:sz w:val="21"/>
                <w:szCs w:val="21"/>
                <w:lang w:val="en-US" w:eastAsia="zh-CN"/>
              </w:rPr>
              <w:t>01</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31DC0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9E0DA6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316FEB2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cs="Times New Roman"/>
                <w:kern w:val="2"/>
                <w:sz w:val="21"/>
                <w:szCs w:val="21"/>
                <w:lang w:val="en-US" w:eastAsia="zh-CN" w:bidi="ar-SA"/>
              </w:rPr>
              <w:fldChar w:fldCharType="begin">
                <w:ffData>
                  <w:name w:val="CSDN"/>
                  <w:enabled/>
                  <w:calcOnExit w:val="0"/>
                  <w:textInput>
                    <w:default w:val="A00"/>
                  </w:textInput>
                </w:ffData>
              </w:fldChar>
            </w:r>
            <w:r>
              <w:rPr>
                <w:rFonts w:ascii="黑体" w:hAnsi="黑体" w:eastAsia="黑体" w:cs="Times New Roman"/>
                <w:kern w:val="2"/>
                <w:sz w:val="21"/>
                <w:szCs w:val="21"/>
                <w:lang w:val="en-US" w:eastAsia="zh-CN" w:bidi="ar-SA"/>
              </w:rPr>
              <w:instrText xml:space="preserve">FORMTEXT</w:instrText>
            </w:r>
            <w:r>
              <w:rPr>
                <w:rFonts w:ascii="黑体" w:hAnsi="黑体" w:eastAsia="黑体" w:cs="Times New Roman"/>
                <w:kern w:val="2"/>
                <w:sz w:val="21"/>
                <w:szCs w:val="21"/>
                <w:lang w:val="en-US" w:eastAsia="zh-CN" w:bidi="ar-SA"/>
              </w:rPr>
              <w:fldChar w:fldCharType="separate"/>
            </w:r>
            <w:r>
              <w:rPr>
                <w:rFonts w:ascii="黑体" w:hAnsi="黑体" w:eastAsia="黑体" w:cs="Times New Roman"/>
                <w:kern w:val="2"/>
                <w:sz w:val="21"/>
                <w:szCs w:val="21"/>
                <w:lang w:val="en-US" w:eastAsia="zh-CN" w:bidi="ar-SA"/>
              </w:rPr>
              <w:t>A00</w:t>
            </w:r>
            <w:r>
              <w:rPr>
                <w:rFonts w:ascii="黑体" w:hAnsi="黑体" w:eastAsia="黑体" w:cs="Times New Roman"/>
                <w:kern w:val="2"/>
                <w:sz w:val="21"/>
                <w:szCs w:val="21"/>
                <w:lang w:val="en-US" w:eastAsia="zh-CN" w:bidi="ar-SA"/>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326EA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1F556B8">
            <w:pPr>
              <w:pStyle w:val="7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37</w:t>
            </w:r>
            <w:r>
              <w:fldChar w:fldCharType="end"/>
            </w:r>
            <w:bookmarkEnd w:id="3"/>
          </w:p>
        </w:tc>
      </w:tr>
    </w:tbl>
    <w:p w14:paraId="1334C631">
      <w:pPr>
        <w:pStyle w:val="7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bookmarkEnd w:id="2"/>
    </w:p>
    <w:p w14:paraId="21FAD189">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C68CA6D">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193D3E3">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1F19B011">
      <w:pPr>
        <w:pStyle w:val="73"/>
        <w:framePr w:w="9639" w:h="6976" w:hRule="exact" w:hSpace="0" w:vSpace="0" w:hAnchor="page" w:y="6408"/>
        <w:jc w:val="center"/>
        <w:rPr>
          <w:rFonts w:ascii="黑体" w:hAnsi="黑体" w:eastAsia="黑体"/>
          <w:b w:val="0"/>
          <w:bCs w:val="0"/>
          <w:w w:val="100"/>
        </w:rPr>
      </w:pPr>
    </w:p>
    <w:p w14:paraId="035FF774">
      <w:pPr>
        <w:pStyle w:val="200"/>
        <w:framePr w:h="6974" w:hRule="exact" w:x="1419" w:anchorLock="1"/>
        <w:rPr>
          <w:rFonts w:hint="eastAsia"/>
        </w:rPr>
      </w:pPr>
      <w:r>
        <w:rPr>
          <w:rFonts w:hint="eastAsia"/>
        </w:rPr>
        <w:t>药械化企业日常检查管理规范　</w:t>
      </w:r>
    </w:p>
    <w:p w14:paraId="2F01C565">
      <w:pPr>
        <w:pStyle w:val="200"/>
        <w:framePr w:h="6974" w:hRule="exact" w:x="1419" w:anchorLock="1"/>
        <w:rPr>
          <w:rFonts w:hint="default" w:eastAsia="黑体"/>
          <w:lang w:val="en-US" w:eastAsia="zh-CN"/>
        </w:rPr>
      </w:pPr>
      <w:r>
        <w:rPr>
          <w:rFonts w:hint="eastAsia"/>
        </w:rPr>
        <w:t>第</w:t>
      </w:r>
      <w:r>
        <w:rPr>
          <w:rFonts w:hint="eastAsia"/>
          <w:lang w:val="en-US" w:eastAsia="zh-CN"/>
        </w:rPr>
        <w:t>2</w:t>
      </w:r>
      <w:r>
        <w:rPr>
          <w:rFonts w:hint="eastAsia"/>
        </w:rPr>
        <w:t>部分　术语</w:t>
      </w:r>
      <w:r>
        <w:rPr>
          <w:rFonts w:hint="eastAsia"/>
          <w:lang w:val="en-US" w:eastAsia="zh-CN"/>
        </w:rPr>
        <w:t>和定义</w:t>
      </w:r>
    </w:p>
    <w:p w14:paraId="02FCD0BC">
      <w:pPr>
        <w:framePr w:w="9639" w:h="6974" w:hRule="exact" w:wrap="around" w:vAnchor="page" w:hAnchor="page" w:x="1419" w:y="6408" w:anchorLock="1"/>
        <w:ind w:left="-1418"/>
      </w:pPr>
    </w:p>
    <w:p w14:paraId="72CF455E">
      <w:pPr>
        <w:pStyle w:val="134"/>
        <w:framePr w:w="9639" w:h="6974" w:hRule="exact" w:wrap="around" w:vAnchor="page" w:hAnchor="page" w:x="1419" w:y="6408" w:anchorLock="1"/>
        <w:textAlignment w:val="bottom"/>
        <w:rPr>
          <w:rFonts w:eastAsia="黑体"/>
          <w:szCs w:val="28"/>
        </w:rPr>
      </w:pPr>
      <w:bookmarkStart w:id="9" w:name="ESTD_NAME"/>
      <w:r>
        <w:rPr>
          <w:rFonts w:hint="eastAsia" w:ascii="Times New Roman" w:hAnsi="Times New Roman" w:eastAsia="黑体" w:cs="Times New Roman"/>
          <w:sz w:val="28"/>
          <w:szCs w:val="28"/>
          <w:lang w:val="en-US" w:eastAsia="zh-CN" w:bidi="ar-SA"/>
        </w:rPr>
        <w:fldChar w:fldCharType="begin">
          <w:ffData>
            <w:name w:val="ESTD_NAME"/>
            <w:enabled/>
            <w:calcOnExit w:val="0"/>
            <w:textInput>
              <w:default w:val="Daily inspection and management standards of drug, medical device and cosmetics enterprise- part 2 : Term and definitio"/>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Daily inspection and management standards of drug, medical device and cosmetics enterprise- part 2 : Term and definitio</w:t>
      </w:r>
      <w:r>
        <w:rPr>
          <w:rFonts w:hint="eastAsia" w:ascii="Times New Roman" w:hAnsi="Times New Roman" w:eastAsia="黑体" w:cs="Times New Roman"/>
          <w:sz w:val="28"/>
          <w:szCs w:val="28"/>
          <w:lang w:val="en-US" w:eastAsia="zh-CN" w:bidi="ar-SA"/>
        </w:rPr>
        <w:fldChar w:fldCharType="end"/>
      </w:r>
      <w:bookmarkEnd w:id="9"/>
    </w:p>
    <w:p w14:paraId="4897D3CB">
      <w:pPr>
        <w:framePr w:w="9639" w:h="6974" w:hRule="exact" w:wrap="around" w:vAnchor="page" w:hAnchor="page" w:x="1419" w:y="6408" w:anchorLock="1"/>
        <w:spacing w:line="760" w:lineRule="exact"/>
        <w:ind w:left="-1418"/>
      </w:pPr>
    </w:p>
    <w:p w14:paraId="361D6706">
      <w:pPr>
        <w:pStyle w:val="134"/>
        <w:framePr w:w="9639" w:h="6974" w:hRule="exact" w:wrap="around" w:vAnchor="page" w:hAnchor="page" w:x="1419" w:y="6408" w:anchorLock="1"/>
        <w:textAlignment w:val="bottom"/>
        <w:rPr>
          <w:rFonts w:eastAsia="黑体"/>
          <w:szCs w:val="28"/>
        </w:rPr>
      </w:pPr>
    </w:p>
    <w:p w14:paraId="2556B3F6">
      <w:pPr>
        <w:pStyle w:val="134"/>
        <w:framePr w:w="9639" w:h="6974" w:hRule="exact" w:wrap="around" w:vAnchor="page" w:hAnchor="page" w:x="1419" w:y="6408" w:anchorLock="1"/>
        <w:spacing w:before="440" w:after="160"/>
        <w:textAlignment w:val="bottom"/>
        <w:rPr>
          <w:sz w:val="24"/>
          <w:szCs w:val="28"/>
        </w:rPr>
      </w:pPr>
      <w:bookmarkStart w:id="10" w:name="下拉1"/>
      <w:r>
        <w:rPr>
          <w:rFonts w:hint="eastAsia"/>
          <w:sz w:val="24"/>
          <w:szCs w:val="28"/>
          <w:lang w:val="en-US" w:eastAsia="zh-CN"/>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10"/>
    </w:p>
    <w:p w14:paraId="2F6691AA">
      <w:pPr>
        <w:pStyle w:val="134"/>
        <w:framePr w:w="9639" w:h="6974" w:hRule="exact" w:wrap="around" w:vAnchor="page" w:hAnchor="page" w:x="1419" w:y="6408" w:anchorLock="1"/>
        <w:spacing w:before="180" w:line="240" w:lineRule="atLeast"/>
        <w:textAlignment w:val="bottom"/>
        <w:rPr>
          <w:sz w:val="21"/>
          <w:szCs w:val="28"/>
        </w:rPr>
      </w:pPr>
      <w:bookmarkStart w:id="11" w:name="CMPLSH_DATE"/>
      <w:r>
        <w:rPr>
          <w:rFonts w:ascii="Times New Roman" w:hAnsi="Times New Roman" w:eastAsia="宋体" w:cs="Times New Roman"/>
          <w:sz w:val="21"/>
          <w:szCs w:val="28"/>
          <w:lang w:val="en-US" w:eastAsia="zh-CN" w:bidi="ar-SA"/>
        </w:rPr>
        <w:fldChar w:fldCharType="begin">
          <w:ffData>
            <w:name w:val="CMPLSH_DATE"/>
            <w:enabled/>
            <w:calcOnExit w:val="0"/>
            <w:textInput>
              <w:default w:val="在提交反馈意见时，请将您知道的相关专利连同支持性文件一并附上。"/>
            </w:textInput>
          </w:ffData>
        </w:fldChar>
      </w:r>
      <w:r>
        <w:rPr>
          <w:rFonts w:ascii="Times New Roman" w:hAnsi="Times New Roman" w:eastAsia="宋体" w:cs="Times New Roman"/>
          <w:sz w:val="21"/>
          <w:szCs w:val="28"/>
          <w:lang w:val="en-US" w:eastAsia="zh-CN" w:bidi="ar-SA"/>
        </w:rPr>
        <w:instrText xml:space="preserve">FORMTEXT</w:instrText>
      </w:r>
      <w:r>
        <w:rPr>
          <w:rFonts w:ascii="Times New Roman" w:hAnsi="Times New Roman" w:eastAsia="宋体" w:cs="Times New Roman"/>
          <w:sz w:val="21"/>
          <w:szCs w:val="28"/>
          <w:lang w:val="en-US" w:eastAsia="zh-CN" w:bidi="ar-SA"/>
        </w:rPr>
        <w:fldChar w:fldCharType="separate"/>
      </w:r>
      <w:r>
        <w:rPr>
          <w:rFonts w:ascii="Times New Roman" w:hAnsi="Times New Roman" w:eastAsia="宋体" w:cs="Times New Roman"/>
          <w:sz w:val="21"/>
          <w:szCs w:val="28"/>
          <w:lang w:val="en-US" w:eastAsia="zh-CN" w:bidi="ar-SA"/>
        </w:rPr>
        <w:t>在提交反馈意见时，请将您知道的相关专利连同支持性文件一并附上。</w:t>
      </w:r>
      <w:r>
        <w:rPr>
          <w:rFonts w:ascii="Times New Roman" w:hAnsi="Times New Roman" w:eastAsia="宋体" w:cs="Times New Roman"/>
          <w:sz w:val="21"/>
          <w:szCs w:val="28"/>
          <w:lang w:val="en-US" w:eastAsia="zh-CN" w:bidi="ar-SA"/>
        </w:rPr>
        <w:fldChar w:fldCharType="end"/>
      </w:r>
      <w:bookmarkEnd w:id="11"/>
    </w:p>
    <w:p w14:paraId="2B2BE2F2">
      <w:pPr>
        <w:pStyle w:val="134"/>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53616E4">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rPr>
          <w:rFonts w:ascii="黑体"/>
        </w:rPr>
        <w:t>-</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ascii="黑体"/>
        </w:rPr>
        <w:t>-</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1FAC7D11">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rPr>
          <w:rFonts w:ascii="黑体"/>
        </w:rPr>
        <w:t>-</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ascii="黑体"/>
        </w:rPr>
        <w:t>-</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450421C">
      <w:pPr>
        <w:pStyle w:val="160"/>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23D543E8">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pgNumType w:fmt="upperRoman" w:start="0"/>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2EC4FDE5">
      <w:pPr>
        <w:pStyle w:val="104"/>
        <w:widowControl/>
        <w:shd w:val="clear" w:color="FFFFFF" w:fill="FFFFFF"/>
        <w:adjustRightInd/>
        <w:spacing w:before="0" w:beforeLines="0" w:afterLines="0" w:line="240" w:lineRule="auto"/>
        <w:jc w:val="both"/>
        <w:outlineLvl w:val="9"/>
        <w:rPr>
          <w:szCs w:val="22"/>
        </w:rPr>
      </w:pPr>
      <w:bookmarkStart w:id="20" w:name="_Toc939785839"/>
      <w:bookmarkStart w:id="21" w:name="_Toc6728669"/>
      <w:bookmarkStart w:id="22" w:name="_Toc624267638"/>
      <w:bookmarkStart w:id="23" w:name="_Toc1807264424"/>
      <w:bookmarkStart w:id="24" w:name="_Toc2096233580"/>
      <w:bookmarkStart w:id="25" w:name="_Toc458290059"/>
      <w:bookmarkStart w:id="26" w:name="_Toc1028834864"/>
      <w:bookmarkStart w:id="27" w:name="_Toc1300784379"/>
      <w:bookmarkStart w:id="28" w:name="BookMark2"/>
    </w:p>
    <w:p w14:paraId="3D348498">
      <w:pPr>
        <w:pStyle w:val="104"/>
        <w:widowControl/>
        <w:shd w:val="clear" w:color="FFFFFF" w:fill="FFFFFF"/>
        <w:adjustRightInd/>
        <w:spacing w:before="0" w:beforeLines="0" w:afterLines="0" w:line="240" w:lineRule="auto"/>
        <w:outlineLvl w:val="9"/>
        <w:rPr>
          <w:szCs w:val="22"/>
        </w:rPr>
      </w:pPr>
      <w:r>
        <w:rPr>
          <w:rFonts w:ascii="黑体" w:hAnsi="Times New Roman" w:eastAsia="黑体" w:cs="Times New Roman"/>
          <w:spacing w:val="320"/>
          <w:kern w:val="2"/>
          <w:sz w:val="32"/>
          <w:szCs w:val="24"/>
          <w:lang w:val="en-US" w:eastAsia="zh-CN" w:bidi="ar-SA"/>
        </w:rPr>
        <w:t>目</w:t>
      </w:r>
      <w:r>
        <w:rPr>
          <w:rFonts w:hint="eastAsia" w:ascii="黑体" w:hAnsi="Times New Roman" w:eastAsia="黑体" w:cs="Times New Roman"/>
          <w:spacing w:val="320"/>
          <w:kern w:val="2"/>
          <w:sz w:val="32"/>
          <w:szCs w:val="24"/>
          <w:lang w:val="en-US" w:eastAsia="zh-CN" w:bidi="ar-SA"/>
        </w:rPr>
        <w:t>次</w:t>
      </w:r>
    </w:p>
    <w:p w14:paraId="382B309C">
      <w:pPr>
        <w:pStyle w:val="24"/>
        <w:rPr>
          <w:rFonts w:ascii="宋体" w:eastAsia="宋体"/>
        </w:rPr>
      </w:pPr>
      <w:r>
        <w:rPr>
          <w:rFonts w:ascii="宋体" w:eastAsia="宋体"/>
        </w:rPr>
        <w:fldChar w:fldCharType="begin"/>
      </w:r>
      <w:r>
        <w:rPr>
          <w:rFonts w:ascii="宋体" w:eastAsia="宋体"/>
        </w:rPr>
        <w:instrText xml:space="preserve">TOC \o "1-2" \h \u </w:instrText>
      </w:r>
      <w:r>
        <w:rPr>
          <w:rFonts w:ascii="宋体" w:eastAsia="宋体"/>
        </w:rPr>
        <w:fldChar w:fldCharType="separate"/>
      </w:r>
      <w:r>
        <w:rPr>
          <w:rFonts w:ascii="宋体" w:eastAsia="宋体"/>
        </w:rPr>
        <w:fldChar w:fldCharType="begin"/>
      </w:r>
      <w:r>
        <w:rPr>
          <w:rFonts w:ascii="宋体" w:eastAsia="宋体"/>
        </w:rPr>
        <w:instrText xml:space="preserve"> HYPERLINK \l _Toc6728669 </w:instrText>
      </w:r>
      <w:r>
        <w:rPr>
          <w:rFonts w:ascii="宋体" w:eastAsia="宋体"/>
        </w:rPr>
        <w:fldChar w:fldCharType="separate"/>
      </w:r>
      <w:r>
        <w:rPr>
          <w:rFonts w:ascii="宋体" w:eastAsia="宋体"/>
          <w:spacing w:val="0"/>
        </w:rPr>
        <w:t>前</w:t>
      </w:r>
      <w:r>
        <w:rPr>
          <w:rFonts w:ascii="宋体" w:eastAsia="宋体"/>
        </w:rPr>
        <w:t>言</w:t>
      </w:r>
      <w:r>
        <w:rPr>
          <w:rFonts w:ascii="宋体" w:eastAsia="宋体"/>
        </w:rPr>
        <w:tab/>
      </w:r>
      <w:r>
        <w:rPr>
          <w:rFonts w:ascii="宋体" w:eastAsia="宋体"/>
        </w:rPr>
        <w:fldChar w:fldCharType="begin"/>
      </w:r>
      <w:r>
        <w:rPr>
          <w:rFonts w:ascii="宋体" w:eastAsia="宋体"/>
        </w:rPr>
        <w:instrText xml:space="preserve"> PAGEREF _Toc6728669 </w:instrText>
      </w:r>
      <w:r>
        <w:rPr>
          <w:rFonts w:ascii="宋体" w:eastAsia="宋体"/>
        </w:rPr>
        <w:fldChar w:fldCharType="separate"/>
      </w:r>
      <w:r>
        <w:rPr>
          <w:rFonts w:ascii="宋体" w:eastAsia="宋体"/>
        </w:rPr>
        <w:t>II</w:t>
      </w:r>
      <w:r>
        <w:rPr>
          <w:rFonts w:ascii="宋体" w:eastAsia="宋体"/>
        </w:rPr>
        <w:fldChar w:fldCharType="end"/>
      </w:r>
      <w:r>
        <w:rPr>
          <w:rFonts w:ascii="宋体" w:eastAsia="宋体"/>
        </w:rPr>
        <w:fldChar w:fldCharType="end"/>
      </w:r>
    </w:p>
    <w:p w14:paraId="54CD08F2">
      <w:pPr>
        <w:pStyle w:val="24"/>
        <w:rPr>
          <w:rFonts w:ascii="宋体" w:eastAsia="宋体"/>
        </w:rPr>
      </w:pPr>
      <w:r>
        <w:rPr>
          <w:rFonts w:ascii="宋体" w:eastAsia="宋体"/>
        </w:rPr>
        <w:fldChar w:fldCharType="begin"/>
      </w:r>
      <w:r>
        <w:rPr>
          <w:rFonts w:ascii="宋体" w:eastAsia="宋体"/>
        </w:rPr>
        <w:instrText xml:space="preserve"> HYPERLINK \l _Toc1419590239 </w:instrText>
      </w:r>
      <w:r>
        <w:rPr>
          <w:rFonts w:ascii="宋体" w:eastAsia="宋体"/>
        </w:rPr>
        <w:fldChar w:fldCharType="separate"/>
      </w:r>
      <w:r>
        <w:rPr>
          <w:rFonts w:ascii="宋体" w:hAnsi="Calibri" w:eastAsia="宋体" w:cs="Times New Roman"/>
          <w:spacing w:val="0"/>
          <w:lang w:val="en-US" w:eastAsia="zh-CN" w:bidi="ar-SA"/>
        </w:rPr>
        <w:t>引</w:t>
      </w:r>
      <w:r>
        <w:rPr>
          <w:rFonts w:ascii="宋体" w:hAnsi="Calibri" w:eastAsia="宋体" w:cs="Times New Roman"/>
          <w:lang w:val="en-US" w:eastAsia="zh-CN" w:bidi="ar-SA"/>
        </w:rPr>
        <w:t>言</w:t>
      </w:r>
      <w:r>
        <w:rPr>
          <w:rFonts w:ascii="宋体" w:eastAsia="宋体"/>
        </w:rPr>
        <w:tab/>
      </w:r>
      <w:r>
        <w:rPr>
          <w:rFonts w:ascii="宋体" w:eastAsia="宋体"/>
        </w:rPr>
        <w:fldChar w:fldCharType="begin"/>
      </w:r>
      <w:r>
        <w:rPr>
          <w:rFonts w:ascii="宋体" w:eastAsia="宋体"/>
        </w:rPr>
        <w:instrText xml:space="preserve"> PAGEREF _Toc1419590239 </w:instrText>
      </w:r>
      <w:r>
        <w:rPr>
          <w:rFonts w:ascii="宋体" w:eastAsia="宋体"/>
        </w:rPr>
        <w:fldChar w:fldCharType="separate"/>
      </w:r>
      <w:r>
        <w:rPr>
          <w:rFonts w:ascii="宋体" w:eastAsia="宋体"/>
        </w:rPr>
        <w:t>III</w:t>
      </w:r>
      <w:r>
        <w:rPr>
          <w:rFonts w:ascii="宋体" w:eastAsia="宋体"/>
        </w:rPr>
        <w:fldChar w:fldCharType="end"/>
      </w:r>
      <w:r>
        <w:rPr>
          <w:rFonts w:ascii="宋体" w:eastAsia="宋体"/>
        </w:rPr>
        <w:fldChar w:fldCharType="end"/>
      </w:r>
    </w:p>
    <w:p w14:paraId="028F04BF">
      <w:pPr>
        <w:pStyle w:val="24"/>
        <w:rPr>
          <w:rFonts w:ascii="宋体" w:eastAsia="宋体"/>
        </w:rPr>
      </w:pPr>
      <w:r>
        <w:rPr>
          <w:rFonts w:ascii="宋体" w:eastAsia="宋体"/>
        </w:rPr>
        <w:fldChar w:fldCharType="begin"/>
      </w:r>
      <w:r>
        <w:rPr>
          <w:rFonts w:ascii="宋体" w:eastAsia="宋体"/>
        </w:rPr>
        <w:instrText xml:space="preserve"> HYPERLINK \l _Toc509828703 </w:instrText>
      </w:r>
      <w:r>
        <w:rPr>
          <w:rFonts w:ascii="宋体" w:eastAsia="宋体"/>
        </w:rPr>
        <w:fldChar w:fldCharType="separate"/>
      </w:r>
      <w:r>
        <w:rPr>
          <w:rFonts w:hint="default" w:ascii="宋体" w:eastAsia="宋体"/>
          <w:i w:val="0"/>
        </w:rPr>
        <w:t xml:space="preserve">1 </w:t>
      </w:r>
      <w:r>
        <w:rPr>
          <w:rFonts w:hint="default" w:ascii="宋体" w:eastAsia="宋体"/>
        </w:rPr>
        <w:t>范围</w:t>
      </w:r>
      <w:r>
        <w:rPr>
          <w:rFonts w:ascii="宋体" w:eastAsia="宋体"/>
        </w:rPr>
        <w:tab/>
      </w:r>
      <w:r>
        <w:rPr>
          <w:rFonts w:ascii="宋体" w:eastAsia="宋体"/>
        </w:rPr>
        <w:fldChar w:fldCharType="begin"/>
      </w:r>
      <w:r>
        <w:rPr>
          <w:rFonts w:ascii="宋体" w:eastAsia="宋体"/>
        </w:rPr>
        <w:instrText xml:space="preserve"> PAGEREF _Toc509828703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rPr>
        <w:fldChar w:fldCharType="end"/>
      </w:r>
    </w:p>
    <w:p w14:paraId="211D0214">
      <w:pPr>
        <w:pStyle w:val="24"/>
        <w:rPr>
          <w:rFonts w:ascii="宋体" w:eastAsia="宋体"/>
        </w:rPr>
      </w:pPr>
      <w:r>
        <w:rPr>
          <w:rFonts w:ascii="宋体" w:eastAsia="宋体"/>
        </w:rPr>
        <w:fldChar w:fldCharType="begin"/>
      </w:r>
      <w:r>
        <w:rPr>
          <w:rFonts w:ascii="宋体" w:eastAsia="宋体"/>
        </w:rPr>
        <w:instrText xml:space="preserve"> HYPERLINK \l _Toc231259791 </w:instrText>
      </w:r>
      <w:r>
        <w:rPr>
          <w:rFonts w:ascii="宋体" w:eastAsia="宋体"/>
        </w:rPr>
        <w:fldChar w:fldCharType="separate"/>
      </w:r>
      <w:r>
        <w:rPr>
          <w:rFonts w:hint="default" w:ascii="宋体" w:eastAsia="宋体"/>
          <w:i w:val="0"/>
        </w:rPr>
        <w:t xml:space="preserve">2 </w:t>
      </w:r>
      <w:r>
        <w:rPr>
          <w:rFonts w:hint="default" w:ascii="宋体" w:eastAsia="宋体"/>
        </w:rPr>
        <w:t>规范性引用文件</w:t>
      </w:r>
      <w:r>
        <w:rPr>
          <w:rFonts w:ascii="宋体" w:eastAsia="宋体"/>
        </w:rPr>
        <w:tab/>
      </w:r>
      <w:r>
        <w:rPr>
          <w:rFonts w:ascii="宋体" w:eastAsia="宋体"/>
        </w:rPr>
        <w:fldChar w:fldCharType="begin"/>
      </w:r>
      <w:r>
        <w:rPr>
          <w:rFonts w:ascii="宋体" w:eastAsia="宋体"/>
        </w:rPr>
        <w:instrText xml:space="preserve"> PAGEREF _Toc231259791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rPr>
        <w:fldChar w:fldCharType="end"/>
      </w:r>
    </w:p>
    <w:p w14:paraId="1905A49E">
      <w:pPr>
        <w:pStyle w:val="24"/>
        <w:rPr>
          <w:rFonts w:ascii="宋体" w:eastAsia="宋体"/>
        </w:rPr>
      </w:pPr>
      <w:r>
        <w:rPr>
          <w:rFonts w:ascii="宋体" w:eastAsia="宋体"/>
        </w:rPr>
        <w:fldChar w:fldCharType="begin"/>
      </w:r>
      <w:r>
        <w:rPr>
          <w:rFonts w:ascii="宋体" w:eastAsia="宋体"/>
        </w:rPr>
        <w:instrText xml:space="preserve"> HYPERLINK \l _Toc1985389914 </w:instrText>
      </w:r>
      <w:r>
        <w:rPr>
          <w:rFonts w:ascii="宋体" w:eastAsia="宋体"/>
        </w:rPr>
        <w:fldChar w:fldCharType="separate"/>
      </w:r>
      <w:r>
        <w:rPr>
          <w:rFonts w:hint="default" w:ascii="宋体" w:eastAsia="宋体"/>
          <w:i w:val="0"/>
        </w:rPr>
        <w:t xml:space="preserve">3 </w:t>
      </w:r>
      <w:r>
        <w:rPr>
          <w:rFonts w:hint="default" w:ascii="宋体" w:eastAsia="宋体"/>
          <w:szCs w:val="21"/>
        </w:rPr>
        <w:t>术语和定义</w:t>
      </w:r>
      <w:r>
        <w:rPr>
          <w:rFonts w:ascii="宋体" w:eastAsia="宋体"/>
        </w:rPr>
        <w:tab/>
      </w:r>
      <w:r>
        <w:rPr>
          <w:rFonts w:ascii="宋体" w:eastAsia="宋体"/>
        </w:rPr>
        <w:fldChar w:fldCharType="begin"/>
      </w:r>
      <w:r>
        <w:rPr>
          <w:rFonts w:ascii="宋体" w:eastAsia="宋体"/>
        </w:rPr>
        <w:instrText xml:space="preserve"> PAGEREF _Toc1985389914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rPr>
        <w:fldChar w:fldCharType="end"/>
      </w:r>
    </w:p>
    <w:p w14:paraId="290BEA7F">
      <w:pPr>
        <w:pStyle w:val="24"/>
        <w:ind w:firstLine="210" w:firstLineChars="100"/>
        <w:rPr>
          <w:rFonts w:ascii="宋体" w:eastAsia="宋体"/>
        </w:rPr>
      </w:pPr>
      <w:r>
        <w:rPr>
          <w:rFonts w:ascii="宋体" w:eastAsia="宋体"/>
        </w:rPr>
        <w:fldChar w:fldCharType="begin"/>
      </w:r>
      <w:r>
        <w:rPr>
          <w:rFonts w:ascii="宋体" w:eastAsia="宋体"/>
        </w:rPr>
        <w:instrText xml:space="preserve"> HYPERLINK \l _Toc847377512 </w:instrText>
      </w:r>
      <w:r>
        <w:rPr>
          <w:rFonts w:ascii="宋体" w:eastAsia="宋体"/>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rPr>
        <w:t xml:space="preserve">3.1 </w:t>
      </w:r>
      <w:r>
        <w:rPr>
          <w:rFonts w:hint="default" w:ascii="宋体" w:hAnsi="Calibri" w:eastAsia="宋体"/>
          <w:lang w:val="en-US" w:eastAsia="zh-CN"/>
        </w:rPr>
        <w:t>基本名词相关术语</w:t>
      </w:r>
      <w:r>
        <w:rPr>
          <w:rFonts w:ascii="宋体" w:eastAsia="宋体"/>
        </w:rPr>
        <w:tab/>
      </w:r>
      <w:r>
        <w:rPr>
          <w:rFonts w:ascii="宋体" w:eastAsia="宋体"/>
        </w:rPr>
        <w:fldChar w:fldCharType="begin"/>
      </w:r>
      <w:r>
        <w:rPr>
          <w:rFonts w:ascii="宋体" w:eastAsia="宋体"/>
        </w:rPr>
        <w:instrText xml:space="preserve"> PAGEREF _Toc847377512 </w:instrText>
      </w:r>
      <w:r>
        <w:rPr>
          <w:rFonts w:ascii="宋体" w:eastAsia="宋体"/>
        </w:rPr>
        <w:fldChar w:fldCharType="separate"/>
      </w:r>
      <w:r>
        <w:rPr>
          <w:rFonts w:ascii="宋体" w:eastAsia="宋体"/>
        </w:rPr>
        <w:t>1</w:t>
      </w:r>
      <w:r>
        <w:rPr>
          <w:rFonts w:ascii="宋体" w:eastAsia="宋体"/>
        </w:rPr>
        <w:fldChar w:fldCharType="end"/>
      </w:r>
      <w:r>
        <w:rPr>
          <w:rFonts w:ascii="宋体" w:eastAsia="宋体"/>
        </w:rPr>
        <w:fldChar w:fldCharType="end"/>
      </w:r>
    </w:p>
    <w:p w14:paraId="63D3031A">
      <w:pPr>
        <w:pStyle w:val="24"/>
        <w:ind w:firstLine="210" w:firstLineChars="100"/>
        <w:rPr>
          <w:rFonts w:ascii="宋体" w:eastAsia="宋体"/>
        </w:rPr>
      </w:pPr>
      <w:r>
        <w:rPr>
          <w:rFonts w:ascii="宋体" w:eastAsia="宋体"/>
        </w:rPr>
        <w:fldChar w:fldCharType="begin"/>
      </w:r>
      <w:r>
        <w:rPr>
          <w:rFonts w:ascii="宋体" w:eastAsia="宋体"/>
        </w:rPr>
        <w:instrText xml:space="preserve"> HYPERLINK \l _Toc1909780927 </w:instrText>
      </w:r>
      <w:r>
        <w:rPr>
          <w:rFonts w:ascii="宋体" w:eastAsia="宋体"/>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rPr>
        <w:t xml:space="preserve">3.2 </w:t>
      </w:r>
      <w:r>
        <w:rPr>
          <w:rFonts w:hint="default" w:ascii="宋体" w:hAnsi="Calibri" w:eastAsia="宋体"/>
          <w:lang w:val="en-US" w:eastAsia="zh-CN"/>
        </w:rPr>
        <w:t>检查相关术语</w:t>
      </w:r>
      <w:r>
        <w:rPr>
          <w:rFonts w:ascii="宋体" w:eastAsia="宋体"/>
        </w:rPr>
        <w:tab/>
      </w:r>
      <w:r>
        <w:rPr>
          <w:rFonts w:ascii="宋体" w:eastAsia="宋体"/>
        </w:rPr>
        <w:fldChar w:fldCharType="begin"/>
      </w:r>
      <w:r>
        <w:rPr>
          <w:rFonts w:ascii="宋体" w:eastAsia="宋体"/>
        </w:rPr>
        <w:instrText xml:space="preserve"> PAGEREF _Toc1909780927 </w:instrText>
      </w:r>
      <w:r>
        <w:rPr>
          <w:rFonts w:ascii="宋体" w:eastAsia="宋体"/>
        </w:rPr>
        <w:fldChar w:fldCharType="separate"/>
      </w:r>
      <w:r>
        <w:rPr>
          <w:rFonts w:ascii="宋体" w:eastAsia="宋体"/>
        </w:rPr>
        <w:t>2</w:t>
      </w:r>
      <w:r>
        <w:rPr>
          <w:rFonts w:ascii="宋体" w:eastAsia="宋体"/>
        </w:rPr>
        <w:fldChar w:fldCharType="end"/>
      </w:r>
      <w:r>
        <w:rPr>
          <w:rFonts w:ascii="宋体" w:eastAsia="宋体"/>
        </w:rPr>
        <w:fldChar w:fldCharType="end"/>
      </w:r>
    </w:p>
    <w:p w14:paraId="220EA777">
      <w:pPr>
        <w:pStyle w:val="24"/>
        <w:ind w:firstLine="210" w:firstLineChars="100"/>
        <w:rPr>
          <w:rFonts w:ascii="宋体" w:eastAsia="宋体"/>
        </w:rPr>
      </w:pPr>
      <w:r>
        <w:rPr>
          <w:rFonts w:ascii="宋体" w:eastAsia="宋体"/>
        </w:rPr>
        <w:fldChar w:fldCharType="begin"/>
      </w:r>
      <w:r>
        <w:rPr>
          <w:rFonts w:ascii="宋体" w:eastAsia="宋体"/>
        </w:rPr>
        <w:instrText xml:space="preserve"> HYPERLINK \l _Toc1397452027 </w:instrText>
      </w:r>
      <w:r>
        <w:rPr>
          <w:rFonts w:ascii="宋体" w:eastAsia="宋体"/>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3.3 </w:t>
      </w:r>
      <w:r>
        <w:rPr>
          <w:rFonts w:hint="default" w:ascii="宋体" w:hAnsi="Calibri" w:eastAsia="宋体" w:cs="Times New Roman"/>
          <w:szCs w:val="21"/>
          <w:lang w:val="en-US" w:eastAsia="zh-CN" w:bidi="ar-SA"/>
        </w:rPr>
        <w:t>抽检相关术语</w:t>
      </w:r>
      <w:r>
        <w:rPr>
          <w:rFonts w:ascii="宋体" w:eastAsia="宋体"/>
        </w:rPr>
        <w:tab/>
      </w:r>
      <w:r>
        <w:rPr>
          <w:rFonts w:ascii="宋体" w:eastAsia="宋体"/>
        </w:rPr>
        <w:fldChar w:fldCharType="begin"/>
      </w:r>
      <w:r>
        <w:rPr>
          <w:rFonts w:ascii="宋体" w:eastAsia="宋体"/>
        </w:rPr>
        <w:instrText xml:space="preserve"> PAGEREF _Toc1397452027 </w:instrText>
      </w:r>
      <w:r>
        <w:rPr>
          <w:rFonts w:ascii="宋体" w:eastAsia="宋体"/>
        </w:rPr>
        <w:fldChar w:fldCharType="separate"/>
      </w:r>
      <w:r>
        <w:rPr>
          <w:rFonts w:ascii="宋体" w:eastAsia="宋体"/>
        </w:rPr>
        <w:t>5</w:t>
      </w:r>
      <w:r>
        <w:rPr>
          <w:rFonts w:ascii="宋体" w:eastAsia="宋体"/>
        </w:rPr>
        <w:fldChar w:fldCharType="end"/>
      </w:r>
      <w:r>
        <w:rPr>
          <w:rFonts w:ascii="宋体" w:eastAsia="宋体"/>
        </w:rPr>
        <w:fldChar w:fldCharType="end"/>
      </w:r>
    </w:p>
    <w:p w14:paraId="0E29422B">
      <w:pPr>
        <w:pStyle w:val="24"/>
        <w:ind w:firstLine="210" w:firstLineChars="100"/>
        <w:rPr>
          <w:rFonts w:ascii="宋体" w:eastAsia="宋体"/>
        </w:rPr>
      </w:pPr>
      <w:r>
        <w:rPr>
          <w:rFonts w:ascii="宋体" w:eastAsia="宋体"/>
        </w:rPr>
        <w:fldChar w:fldCharType="begin"/>
      </w:r>
      <w:r>
        <w:rPr>
          <w:rFonts w:ascii="宋体" w:eastAsia="宋体"/>
        </w:rPr>
        <w:instrText xml:space="preserve"> HYPERLINK \l _Toc243604688 </w:instrText>
      </w:r>
      <w:r>
        <w:rPr>
          <w:rFonts w:ascii="宋体" w:eastAsia="宋体"/>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rPr>
        <w:t xml:space="preserve">3.4 </w:t>
      </w:r>
      <w:r>
        <w:rPr>
          <w:rFonts w:hint="default" w:ascii="宋体" w:hAnsi="Calibri" w:eastAsia="宋体"/>
          <w:lang w:val="en-US" w:eastAsia="zh-CN"/>
        </w:rPr>
        <w:t>执法相关术语</w:t>
      </w:r>
      <w:r>
        <w:rPr>
          <w:rFonts w:ascii="宋体" w:eastAsia="宋体"/>
        </w:rPr>
        <w:tab/>
      </w:r>
      <w:r>
        <w:rPr>
          <w:rFonts w:ascii="宋体" w:eastAsia="宋体"/>
        </w:rPr>
        <w:fldChar w:fldCharType="begin"/>
      </w:r>
      <w:r>
        <w:rPr>
          <w:rFonts w:ascii="宋体" w:eastAsia="宋体"/>
        </w:rPr>
        <w:instrText xml:space="preserve"> PAGEREF _Toc243604688 </w:instrText>
      </w:r>
      <w:r>
        <w:rPr>
          <w:rFonts w:ascii="宋体" w:eastAsia="宋体"/>
        </w:rPr>
        <w:fldChar w:fldCharType="separate"/>
      </w:r>
      <w:r>
        <w:rPr>
          <w:rFonts w:ascii="宋体" w:eastAsia="宋体"/>
        </w:rPr>
        <w:t>6</w:t>
      </w:r>
      <w:r>
        <w:rPr>
          <w:rFonts w:ascii="宋体" w:eastAsia="宋体"/>
        </w:rPr>
        <w:fldChar w:fldCharType="end"/>
      </w:r>
      <w:r>
        <w:rPr>
          <w:rFonts w:ascii="宋体" w:eastAsia="宋体"/>
        </w:rPr>
        <w:fldChar w:fldCharType="end"/>
      </w:r>
    </w:p>
    <w:p w14:paraId="741D096C">
      <w:pPr>
        <w:pStyle w:val="24"/>
        <w:ind w:firstLine="210" w:firstLineChars="100"/>
        <w:rPr>
          <w:rFonts w:ascii="宋体" w:eastAsia="宋体"/>
        </w:rPr>
      </w:pPr>
      <w:r>
        <w:rPr>
          <w:rFonts w:ascii="宋体" w:eastAsia="宋体"/>
        </w:rPr>
        <w:fldChar w:fldCharType="begin"/>
      </w:r>
      <w:r>
        <w:rPr>
          <w:rFonts w:ascii="宋体" w:eastAsia="宋体"/>
        </w:rPr>
        <w:instrText xml:space="preserve"> HYPERLINK \l _Toc1160160034 </w:instrText>
      </w:r>
      <w:r>
        <w:rPr>
          <w:rFonts w:ascii="宋体" w:eastAsia="宋体"/>
        </w:rPr>
        <w:fldChar w:fldCharType="separate"/>
      </w:r>
      <w:r>
        <w:rPr>
          <w:rFonts w:hint="default" w:ascii="宋体" w:hAnsi="Calibri" w:eastAsia="宋体" w:cs="Times New Roman"/>
          <w:bCs w:val="0"/>
          <w:i w:val="0"/>
          <w:iCs w:val="0"/>
          <w:caps w:val="0"/>
          <w:smallCaps w:val="0"/>
          <w:strike w:val="0"/>
          <w:dstrike w:val="0"/>
          <w:vanish w:val="0"/>
          <w:spacing w:val="0"/>
          <w:kern w:val="2"/>
          <w:position w:val="0"/>
          <w:vertAlign w:val="baseline"/>
          <w:lang w:val="en-US" w:eastAsia="zh-CN"/>
        </w:rPr>
        <w:t xml:space="preserve">3.5 </w:t>
      </w:r>
      <w:r>
        <w:rPr>
          <w:rFonts w:hint="default" w:ascii="宋体" w:hAnsi="Calibri" w:eastAsia="宋体"/>
          <w:lang w:val="en-US" w:eastAsia="zh-CN"/>
        </w:rPr>
        <w:t>数据管理相关术语</w:t>
      </w:r>
      <w:r>
        <w:rPr>
          <w:rFonts w:ascii="宋体" w:eastAsia="宋体"/>
        </w:rPr>
        <w:tab/>
      </w:r>
      <w:r>
        <w:rPr>
          <w:rFonts w:ascii="宋体" w:eastAsia="宋体"/>
        </w:rPr>
        <w:fldChar w:fldCharType="begin"/>
      </w:r>
      <w:r>
        <w:rPr>
          <w:rFonts w:ascii="宋体" w:eastAsia="宋体"/>
        </w:rPr>
        <w:instrText xml:space="preserve"> PAGEREF _Toc1160160034 </w:instrText>
      </w:r>
      <w:r>
        <w:rPr>
          <w:rFonts w:ascii="宋体" w:eastAsia="宋体"/>
        </w:rPr>
        <w:fldChar w:fldCharType="separate"/>
      </w:r>
      <w:r>
        <w:rPr>
          <w:rFonts w:ascii="宋体" w:eastAsia="宋体"/>
        </w:rPr>
        <w:t>7</w:t>
      </w:r>
      <w:r>
        <w:rPr>
          <w:rFonts w:ascii="宋体" w:eastAsia="宋体"/>
        </w:rPr>
        <w:fldChar w:fldCharType="end"/>
      </w:r>
      <w:r>
        <w:rPr>
          <w:rFonts w:ascii="宋体" w:eastAsia="宋体"/>
        </w:rPr>
        <w:fldChar w:fldCharType="end"/>
      </w:r>
    </w:p>
    <w:p w14:paraId="6F656E67">
      <w:pPr>
        <w:pStyle w:val="24"/>
        <w:rPr>
          <w:rFonts w:ascii="宋体" w:eastAsia="宋体"/>
        </w:rPr>
      </w:pPr>
      <w:r>
        <w:rPr>
          <w:rFonts w:ascii="宋体" w:eastAsia="宋体"/>
        </w:rPr>
        <w:fldChar w:fldCharType="begin"/>
      </w:r>
      <w:r>
        <w:rPr>
          <w:rFonts w:ascii="宋体" w:eastAsia="宋体"/>
        </w:rPr>
        <w:instrText xml:space="preserve"> HYPERLINK \l _Toc1805660325 </w:instrText>
      </w:r>
      <w:r>
        <w:rPr>
          <w:rFonts w:ascii="宋体" w:eastAsia="宋体"/>
        </w:rPr>
        <w:fldChar w:fldCharType="separate"/>
      </w:r>
      <w:r>
        <w:rPr>
          <w:rFonts w:hint="default" w:ascii="宋体" w:hAnsi="Calibri" w:eastAsia="宋体"/>
          <w:kern w:val="2"/>
          <w:szCs w:val="21"/>
          <w:lang w:val="en-US" w:eastAsia="zh-CN"/>
        </w:rPr>
        <w:t>参考文献</w:t>
      </w:r>
      <w:r>
        <w:rPr>
          <w:rFonts w:ascii="宋体" w:eastAsia="宋体"/>
        </w:rPr>
        <w:tab/>
      </w:r>
      <w:r>
        <w:rPr>
          <w:rFonts w:ascii="宋体" w:eastAsia="宋体"/>
        </w:rPr>
        <w:fldChar w:fldCharType="begin"/>
      </w:r>
      <w:r>
        <w:rPr>
          <w:rFonts w:ascii="宋体" w:eastAsia="宋体"/>
        </w:rPr>
        <w:instrText xml:space="preserve"> PAGEREF _Toc1805660325 </w:instrText>
      </w:r>
      <w:r>
        <w:rPr>
          <w:rFonts w:ascii="宋体" w:eastAsia="宋体"/>
        </w:rPr>
        <w:fldChar w:fldCharType="separate"/>
      </w:r>
      <w:r>
        <w:rPr>
          <w:rFonts w:ascii="宋体" w:eastAsia="宋体"/>
        </w:rPr>
        <w:t>8</w:t>
      </w:r>
      <w:r>
        <w:rPr>
          <w:rFonts w:ascii="宋体" w:eastAsia="宋体"/>
        </w:rPr>
        <w:fldChar w:fldCharType="end"/>
      </w:r>
      <w:r>
        <w:rPr>
          <w:rFonts w:ascii="宋体" w:eastAsia="宋体"/>
        </w:rPr>
        <w:fldChar w:fldCharType="end"/>
      </w:r>
    </w:p>
    <w:p w14:paraId="6A16F129">
      <w:pPr>
        <w:pStyle w:val="103"/>
        <w:numPr>
          <w:ilvl w:val="-1"/>
          <w:numId w:val="0"/>
        </w:numPr>
        <w:spacing w:after="468"/>
        <w:ind w:left="0" w:firstLine="0"/>
        <w:jc w:val="both"/>
        <w:sectPr>
          <w:headerReference r:id="rId10" w:type="default"/>
          <w:footerReference r:id="rId12" w:type="default"/>
          <w:headerReference r:id="rId11" w:type="even"/>
          <w:pgSz w:w="11906" w:h="16838"/>
          <w:pgMar w:top="1928" w:right="1134" w:bottom="1134" w:left="1134" w:header="1418" w:footer="1134" w:gutter="284"/>
          <w:pgNumType w:fmt="upperRoman"/>
          <w:cols w:space="425" w:num="1"/>
          <w:formProt w:val="0"/>
          <w:docGrid w:type="lines" w:linePitch="312" w:charSpace="0"/>
        </w:sectPr>
      </w:pPr>
      <w:r>
        <w:rPr>
          <w:rFonts w:ascii="宋体" w:eastAsia="宋体"/>
        </w:rPr>
        <w:fldChar w:fldCharType="end"/>
      </w:r>
    </w:p>
    <w:p w14:paraId="796AEB0D">
      <w:pPr>
        <w:pStyle w:val="103"/>
        <w:spacing w:before="0" w:beforeLines="0" w:after="469"/>
        <w:ind w:left="0" w:firstLine="0"/>
      </w:pPr>
      <w:r>
        <w:rPr>
          <w:spacing w:val="320"/>
        </w:rPr>
        <w:t>前</w:t>
      </w:r>
      <w:r>
        <w:t>言</w:t>
      </w:r>
      <w:bookmarkEnd w:id="20"/>
      <w:bookmarkEnd w:id="21"/>
      <w:bookmarkEnd w:id="22"/>
      <w:bookmarkEnd w:id="23"/>
      <w:bookmarkEnd w:id="24"/>
      <w:bookmarkEnd w:id="25"/>
      <w:bookmarkEnd w:id="26"/>
      <w:bookmarkEnd w:id="27"/>
    </w:p>
    <w:p w14:paraId="1E0F6783">
      <w:pPr>
        <w:pStyle w:val="37"/>
        <w:ind w:firstLine="420"/>
      </w:pPr>
      <w:r>
        <w:rPr>
          <w:rFonts w:hint="eastAsia"/>
        </w:rPr>
        <w:t>本文件按照GB/T 1.1—2020《标准化工作导则  第1部分：标准化文件的结构和起草规则》的规定起草。</w:t>
      </w:r>
    </w:p>
    <w:p w14:paraId="644DE0EF">
      <w:pPr>
        <w:pStyle w:val="37"/>
        <w:ind w:firstLine="420"/>
      </w:pPr>
      <w:r>
        <w:rPr>
          <w:rFonts w:hint="eastAsia"/>
        </w:rPr>
        <w:t>请注意本文件的某些内容可能涉及专利。本文件的发布机构不承担识别专利的责任。</w:t>
      </w:r>
    </w:p>
    <w:p w14:paraId="1CD2A65D">
      <w:pPr>
        <w:pStyle w:val="37"/>
        <w:ind w:firstLine="420"/>
        <w:rPr>
          <w:rFonts w:hint="eastAsia"/>
        </w:rPr>
      </w:pPr>
      <w:r>
        <w:rPr>
          <w:rFonts w:hint="eastAsia"/>
        </w:rPr>
        <w:t>本文件由山东省药品监督管理局提出、归口，并组织实施。</w:t>
      </w:r>
    </w:p>
    <w:p w14:paraId="4F70285B">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bookmarkStart w:id="29" w:name="_Toc107219535"/>
      <w:bookmarkStart w:id="30" w:name="_Toc107219517"/>
    </w:p>
    <w:p w14:paraId="311D2D9E">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0E98F2D4">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498BE361">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4AF999A7">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3C7CEE5F">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01782099">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40FF8884">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454AF760">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4D51748F">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656C9765">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29EB0B20">
      <w:pPr>
        <w:numPr>
          <w:ilvl w:val="0"/>
          <w:numId w:val="0"/>
        </w:numPr>
        <w:shd w:val="clear" w:color="FFFFFF" w:fill="FFFFFF"/>
        <w:spacing w:before="480" w:after="468" w:afterLines="150"/>
        <w:ind w:leftChars="0"/>
        <w:jc w:val="center"/>
        <w:outlineLvl w:val="0"/>
        <w:rPr>
          <w:rFonts w:ascii="黑体" w:hAnsi="Times New Roman" w:eastAsia="黑体" w:cs="Times New Roman"/>
          <w:color w:val="000000"/>
          <w:spacing w:val="320"/>
          <w:sz w:val="32"/>
          <w:lang w:val="en-US" w:eastAsia="zh-CN" w:bidi="ar-SA"/>
        </w:rPr>
      </w:pPr>
    </w:p>
    <w:p w14:paraId="0C593716">
      <w:pPr>
        <w:keepNext w:val="0"/>
        <w:keepLines w:val="0"/>
        <w:pageBreakBefore w:val="0"/>
        <w:widowControl w:val="0"/>
        <w:numPr>
          <w:ilvl w:val="0"/>
          <w:numId w:val="0"/>
        </w:numPr>
        <w:shd w:val="clear" w:color="FFFFFF" w:fill="FFFFFF"/>
        <w:kinsoku/>
        <w:wordWrap/>
        <w:overflowPunct/>
        <w:topLinePunct w:val="0"/>
        <w:autoSpaceDE/>
        <w:autoSpaceDN/>
        <w:bidi w:val="0"/>
        <w:adjustRightInd/>
        <w:snapToGrid/>
        <w:spacing w:after="469" w:afterLines="150" w:line="240" w:lineRule="auto"/>
        <w:ind w:leftChars="0"/>
        <w:jc w:val="center"/>
        <w:textAlignment w:val="auto"/>
        <w:outlineLvl w:val="0"/>
        <w:rPr>
          <w:rFonts w:ascii="黑体" w:hAnsi="Times New Roman" w:eastAsia="黑体" w:cs="Times New Roman"/>
          <w:color w:val="000000"/>
          <w:sz w:val="32"/>
          <w:lang w:val="en-US" w:eastAsia="zh-CN" w:bidi="ar-SA"/>
        </w:rPr>
      </w:pPr>
      <w:bookmarkStart w:id="31" w:name="_Toc1928550025"/>
      <w:bookmarkStart w:id="32" w:name="_Toc899531393"/>
      <w:bookmarkStart w:id="33" w:name="_Toc1608576271"/>
      <w:bookmarkStart w:id="34" w:name="_Toc684471000"/>
      <w:bookmarkStart w:id="35" w:name="_Toc1419590239"/>
      <w:bookmarkStart w:id="36" w:name="_Toc89233604"/>
      <w:bookmarkStart w:id="37" w:name="_Toc238372388"/>
      <w:bookmarkStart w:id="38" w:name="_Toc1604663471"/>
      <w:r>
        <w:rPr>
          <w:rFonts w:ascii="黑体" w:hAnsi="Times New Roman" w:eastAsia="黑体" w:cs="Times New Roman"/>
          <w:color w:val="000000"/>
          <w:spacing w:val="320"/>
          <w:sz w:val="32"/>
          <w:lang w:val="en-US" w:eastAsia="zh-CN" w:bidi="ar-SA"/>
        </w:rPr>
        <w:t>引</w:t>
      </w:r>
      <w:r>
        <w:rPr>
          <w:rFonts w:ascii="黑体" w:hAnsi="Times New Roman" w:eastAsia="黑体" w:cs="Times New Roman"/>
          <w:color w:val="000000"/>
          <w:sz w:val="32"/>
          <w:lang w:val="en-US" w:eastAsia="zh-CN" w:bidi="ar-SA"/>
        </w:rPr>
        <w:t>言</w:t>
      </w:r>
      <w:bookmarkEnd w:id="29"/>
      <w:bookmarkEnd w:id="30"/>
      <w:bookmarkEnd w:id="31"/>
      <w:bookmarkEnd w:id="32"/>
      <w:bookmarkEnd w:id="33"/>
      <w:bookmarkEnd w:id="34"/>
      <w:bookmarkEnd w:id="35"/>
      <w:bookmarkEnd w:id="36"/>
      <w:bookmarkEnd w:id="37"/>
      <w:bookmarkEnd w:id="38"/>
    </w:p>
    <w:p w14:paraId="44F1D70C">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日常监督检查是由药品监督管理部门按照规定的频次和要求开展的常规监督检查，是新形势下探索提升药品安全治理能力现代化的新路径，发挥省级药品监督管理局派出检查机构新监管体制的重要实践。《药械化企业日常检查管理规范》拟由五个部分组成。</w:t>
      </w:r>
    </w:p>
    <w:p w14:paraId="6D2CCF6F">
      <w:pPr>
        <w:autoSpaceDE w:val="0"/>
        <w:autoSpaceDN w:val="0"/>
        <w:ind w:firstLine="420" w:firstLineChars="200"/>
        <w:jc w:val="both"/>
        <w:rPr>
          <w:rFonts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——第1部分：总则。目的在于为药械化企业日常检查工作提供总体</w:t>
      </w:r>
      <w:r>
        <w:rPr>
          <w:rFonts w:hint="eastAsia" w:ascii="宋体" w:hAnsi="Times New Roman" w:cs="Times New Roman"/>
          <w:sz w:val="21"/>
          <w:lang w:val="en-US" w:eastAsia="zh-CN" w:bidi="ar-SA"/>
        </w:rPr>
        <w:t>要求</w:t>
      </w:r>
      <w:r>
        <w:rPr>
          <w:rFonts w:hint="eastAsia" w:ascii="宋体" w:hAnsi="Times New Roman" w:eastAsia="宋体" w:cs="Times New Roman"/>
          <w:sz w:val="21"/>
          <w:lang w:val="en-US" w:eastAsia="zh-CN" w:bidi="ar-SA"/>
        </w:rPr>
        <w:t>。</w:t>
      </w:r>
    </w:p>
    <w:p w14:paraId="0B942177">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——第2部分：术语与定义。目的</w:t>
      </w:r>
      <w:r>
        <w:rPr>
          <w:rFonts w:hint="eastAsia" w:ascii="宋体" w:hAnsi="Times New Roman" w:cs="Times New Roman"/>
          <w:sz w:val="21"/>
          <w:lang w:val="en-US" w:eastAsia="zh-CN" w:bidi="ar-SA"/>
        </w:rPr>
        <w:t>在于在社会面建立对日常检查的共识。</w:t>
      </w:r>
    </w:p>
    <w:p w14:paraId="74AE8E2F">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——第3部分：日常检查。目的在于</w:t>
      </w:r>
      <w:r>
        <w:rPr>
          <w:rFonts w:hint="eastAsia" w:ascii="宋体" w:hAnsi="Times New Roman" w:cs="Times New Roman"/>
          <w:sz w:val="21"/>
          <w:lang w:val="en-US" w:eastAsia="zh-CN" w:bidi="ar-SA"/>
        </w:rPr>
        <w:t>为日常检验工作开展提供规范。</w:t>
      </w:r>
    </w:p>
    <w:p w14:paraId="2E34CCAF">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4</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抽样</w:t>
      </w:r>
      <w:r>
        <w:rPr>
          <w:rFonts w:hint="eastAsia" w:ascii="宋体" w:hAnsi="Times New Roman" w:eastAsia="宋体" w:cs="Times New Roman"/>
          <w:sz w:val="21"/>
          <w:lang w:val="en-US" w:eastAsia="zh-CN" w:bidi="ar-SA"/>
        </w:rPr>
        <w:t>。目的在于</w:t>
      </w:r>
      <w:r>
        <w:rPr>
          <w:rFonts w:hint="eastAsia" w:ascii="宋体" w:hAnsi="Times New Roman" w:cs="Times New Roman"/>
          <w:sz w:val="21"/>
          <w:lang w:val="en-US" w:eastAsia="zh-CN" w:bidi="ar-SA"/>
        </w:rPr>
        <w:t>为日常检查抽样提供规范。</w:t>
      </w:r>
    </w:p>
    <w:p w14:paraId="3C8CF72C">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eastAsia="宋体" w:cs="Times New Roman"/>
          <w:sz w:val="21"/>
          <w:lang w:val="en-US" w:eastAsia="zh-CN" w:bidi="ar-SA"/>
        </w:rPr>
        <w:t>——第</w:t>
      </w:r>
      <w:r>
        <w:rPr>
          <w:rFonts w:hint="eastAsia" w:ascii="宋体" w:hAnsi="Times New Roman" w:cs="Times New Roman"/>
          <w:sz w:val="21"/>
          <w:lang w:val="en-US" w:eastAsia="zh-CN" w:bidi="ar-SA"/>
        </w:rPr>
        <w:t>5</w:t>
      </w:r>
      <w:r>
        <w:rPr>
          <w:rFonts w:hint="eastAsia" w:ascii="宋体" w:hAnsi="Times New Roman" w:eastAsia="宋体" w:cs="Times New Roman"/>
          <w:sz w:val="21"/>
          <w:lang w:val="en-US" w:eastAsia="zh-CN" w:bidi="ar-SA"/>
        </w:rPr>
        <w:t>部分：</w:t>
      </w:r>
      <w:r>
        <w:rPr>
          <w:rFonts w:hint="eastAsia" w:ascii="宋体" w:hAnsi="Times New Roman" w:cs="Times New Roman"/>
          <w:sz w:val="21"/>
          <w:lang w:val="en-US" w:eastAsia="zh-CN" w:bidi="ar-SA"/>
        </w:rPr>
        <w:t>数据管理</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目的在于为日常检查的数据管理提供规范。</w:t>
      </w:r>
    </w:p>
    <w:p w14:paraId="05521AB3">
      <w:pPr>
        <w:autoSpaceDE w:val="0"/>
        <w:autoSpaceDN w:val="0"/>
        <w:ind w:firstLine="420" w:firstLineChars="200"/>
        <w:jc w:val="both"/>
        <w:rPr>
          <w:rFonts w:hint="eastAsia" w:ascii="宋体" w:hAnsi="Times New Roman" w:cs="Times New Roman"/>
          <w:sz w:val="21"/>
          <w:lang w:val="en-US" w:eastAsia="zh-CN" w:bidi="ar-SA"/>
        </w:rPr>
      </w:pPr>
      <w:r>
        <w:rPr>
          <w:rFonts w:hint="eastAsia" w:ascii="宋体" w:hAnsi="Times New Roman" w:cs="Times New Roman"/>
          <w:sz w:val="21"/>
          <w:lang w:val="en-US" w:eastAsia="zh-CN" w:bidi="ar-SA"/>
        </w:rPr>
        <w:t>本文件以行业法律法规的基本规定为前提，结合新监管体制的运行需要，纳入了与日常检查相关的</w:t>
      </w:r>
      <w:r>
        <w:rPr>
          <w:rFonts w:hint="eastAsia" w:ascii="宋体" w:hAnsi="Times New Roman" w:eastAsia="宋体" w:cs="Times New Roman"/>
          <w:sz w:val="21"/>
          <w:lang w:val="en-US" w:eastAsia="zh-CN" w:bidi="ar-SA"/>
        </w:rPr>
        <w:t>重要术语</w:t>
      </w:r>
      <w:r>
        <w:rPr>
          <w:rFonts w:hint="eastAsia" w:ascii="宋体" w:hAnsi="Times New Roman" w:cs="Times New Roman"/>
          <w:sz w:val="21"/>
          <w:lang w:val="en-US" w:eastAsia="zh-CN" w:bidi="ar-SA"/>
        </w:rPr>
        <w:t>，有利于在监管双方之间建立统一的沟通语言。</w:t>
      </w:r>
    </w:p>
    <w:bookmarkEnd w:id="28"/>
    <w:p w14:paraId="73BBF40A">
      <w:pPr>
        <w:pStyle w:val="37"/>
        <w:ind w:firstLine="420"/>
        <w:rPr>
          <w:rFonts w:hint="eastAsia"/>
        </w:rPr>
      </w:pPr>
    </w:p>
    <w:p w14:paraId="22CA4A13">
      <w:pPr>
        <w:jc w:val="both"/>
        <w:rPr>
          <w:rFonts w:ascii="黑体" w:hAnsi="黑体" w:eastAsia="黑体"/>
          <w:sz w:val="32"/>
          <w:szCs w:val="32"/>
          <w:highlight w:val="none"/>
        </w:rPr>
      </w:pPr>
      <w:bookmarkStart w:id="39" w:name="BookMark4"/>
    </w:p>
    <w:p w14:paraId="561BC415">
      <w:pPr>
        <w:spacing w:line="20" w:lineRule="exact"/>
        <w:jc w:val="center"/>
        <w:rPr>
          <w:rFonts w:ascii="黑体" w:hAnsi="黑体" w:eastAsia="黑体"/>
          <w:sz w:val="32"/>
          <w:szCs w:val="32"/>
          <w:highlight w:val="none"/>
        </w:rPr>
      </w:pPr>
    </w:p>
    <w:sdt>
      <w:sdtPr>
        <w:rPr>
          <w:highlight w:val="none"/>
        </w:rPr>
        <w:tag w:val="NEW_STAND_NAME"/>
        <w:id w:val="595910757"/>
        <w:lock w:val="sdtLocked"/>
        <w:placeholder>
          <w:docPart w:val="81A6BF7337844C4AB24B64923ED78362"/>
        </w:placeholder>
      </w:sdtPr>
      <w:sdtEndPr>
        <w:rPr>
          <w:highlight w:val="none"/>
        </w:rPr>
      </w:sdtEndPr>
      <w:sdtContent>
        <w:p w14:paraId="7A5C7C42">
          <w:pPr>
            <w:pStyle w:val="56"/>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highlight w:val="none"/>
            </w:rPr>
            <w:sectPr>
              <w:pgSz w:w="11906" w:h="16838"/>
              <w:pgMar w:top="1928" w:right="1134" w:bottom="1134" w:left="1134" w:header="1418" w:footer="1134" w:gutter="284"/>
              <w:pgNumType w:fmt="upperRoman"/>
              <w:cols w:space="425" w:num="1"/>
              <w:formProt w:val="0"/>
              <w:docGrid w:type="lines" w:linePitch="312" w:charSpace="0"/>
            </w:sectPr>
          </w:pPr>
          <w:bookmarkStart w:id="40" w:name="NEW_STAND_NAME"/>
        </w:p>
        <w:p w14:paraId="1EF8A482">
          <w:pPr>
            <w:pStyle w:val="56"/>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rFonts w:hint="eastAsia"/>
              <w:highlight w:val="none"/>
              <w:lang w:val="en-US" w:eastAsia="zh-CN"/>
            </w:rPr>
          </w:pPr>
          <w:r>
            <w:rPr>
              <w:rFonts w:hint="eastAsia"/>
              <w:highlight w:val="none"/>
            </w:rPr>
            <w:t>药</w:t>
          </w:r>
          <w:r>
            <w:rPr>
              <w:rFonts w:hint="eastAsia"/>
              <w:highlight w:val="none"/>
              <w:lang w:val="en-US" w:eastAsia="zh-CN"/>
            </w:rPr>
            <w:t>械化</w:t>
          </w:r>
          <w:r>
            <w:rPr>
              <w:rFonts w:hint="eastAsia"/>
              <w:highlight w:val="none"/>
            </w:rPr>
            <w:t>企业日常检查</w:t>
          </w:r>
          <w:r>
            <w:rPr>
              <w:rFonts w:hint="eastAsia"/>
              <w:highlight w:val="none"/>
              <w:lang w:val="en-US" w:eastAsia="zh-CN"/>
            </w:rPr>
            <w:t>管理</w:t>
          </w:r>
          <w:r>
            <w:rPr>
              <w:rFonts w:hint="eastAsia"/>
              <w:highlight w:val="none"/>
            </w:rPr>
            <w:t>规范</w:t>
          </w:r>
          <w:r>
            <w:rPr>
              <w:rFonts w:hint="eastAsia"/>
              <w:highlight w:val="none"/>
              <w:lang w:val="en-US" w:eastAsia="zh-CN"/>
            </w:rPr>
            <w:t xml:space="preserve"> </w:t>
          </w:r>
        </w:p>
        <w:p w14:paraId="45909F8D">
          <w:pPr>
            <w:pStyle w:val="56"/>
            <w:keepNext w:val="0"/>
            <w:keepLines w:val="0"/>
            <w:pageBreakBefore w:val="0"/>
            <w:widowControl/>
            <w:kinsoku/>
            <w:wordWrap/>
            <w:overflowPunct/>
            <w:topLinePunct w:val="0"/>
            <w:autoSpaceDE/>
            <w:autoSpaceDN/>
            <w:bidi w:val="0"/>
            <w:adjustRightInd w:val="0"/>
            <w:snapToGrid w:val="0"/>
            <w:spacing w:before="0" w:after="0" w:line="240" w:lineRule="auto"/>
            <w:textAlignment w:val="auto"/>
            <w:rPr>
              <w:highlight w:val="none"/>
            </w:rPr>
          </w:pPr>
          <w:r>
            <w:rPr>
              <w:rFonts w:hint="eastAsia"/>
              <w:highlight w:val="none"/>
              <w:lang w:val="en-US" w:eastAsia="zh-CN"/>
            </w:rPr>
            <w:t>第2部分 术语和定义</w:t>
          </w:r>
          <w:bookmarkEnd w:id="40"/>
        </w:p>
      </w:sdtContent>
    </w:sdt>
    <w:p w14:paraId="20CF3E3E">
      <w:pPr>
        <w:pStyle w:val="38"/>
        <w:spacing w:before="312" w:after="312"/>
        <w:rPr>
          <w:highlight w:val="none"/>
        </w:rPr>
      </w:pPr>
      <w:bookmarkStart w:id="41" w:name="_Toc17233325"/>
      <w:bookmarkStart w:id="42" w:name="_Toc805596822"/>
      <w:bookmarkStart w:id="43" w:name="_Toc24884218"/>
      <w:bookmarkStart w:id="44" w:name="_Toc139247271"/>
      <w:bookmarkStart w:id="45" w:name="_Toc26986771"/>
      <w:bookmarkStart w:id="46" w:name="_Toc1169586004"/>
      <w:bookmarkStart w:id="47" w:name="_Toc26718930"/>
      <w:bookmarkStart w:id="48" w:name="_Toc1267723461"/>
      <w:bookmarkStart w:id="49" w:name="_Toc509828703"/>
      <w:bookmarkStart w:id="50" w:name="_Toc26986530"/>
      <w:bookmarkStart w:id="51" w:name="_Toc97191423"/>
      <w:bookmarkStart w:id="52" w:name="_Toc17233333"/>
      <w:bookmarkStart w:id="53" w:name="_Toc1479318071"/>
      <w:bookmarkStart w:id="54" w:name="_Toc26648465"/>
      <w:bookmarkStart w:id="55" w:name="_Toc1981683668"/>
      <w:bookmarkStart w:id="56" w:name="_Toc24884211"/>
      <w:bookmarkStart w:id="57" w:name="_Toc669754614"/>
      <w:r>
        <w:rPr>
          <w:rFonts w:hint="eastAsia"/>
          <w:highlight w:val="none"/>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E9DC0C3">
      <w:pPr>
        <w:pStyle w:val="37"/>
        <w:ind w:firstLine="420"/>
        <w:rPr>
          <w:rFonts w:hint="eastAsia"/>
          <w:highlight w:val="none"/>
          <w:lang w:val="en-US" w:eastAsia="zh-CN"/>
        </w:rPr>
      </w:pPr>
      <w:bookmarkStart w:id="58" w:name="_Toc17233334"/>
      <w:bookmarkStart w:id="59" w:name="_Toc24884219"/>
      <w:bookmarkStart w:id="60" w:name="_Toc17233326"/>
      <w:bookmarkStart w:id="61" w:name="_Toc24884212"/>
      <w:bookmarkStart w:id="62" w:name="_Toc26648466"/>
      <w:r>
        <w:rPr>
          <w:rFonts w:hint="eastAsia"/>
          <w:highlight w:val="none"/>
        </w:rPr>
        <w:t>本文件规定了药品</w:t>
      </w:r>
      <w:r>
        <w:rPr>
          <w:rFonts w:hint="eastAsia"/>
          <w:highlight w:val="none"/>
          <w:lang w:eastAsia="zh-CN"/>
        </w:rPr>
        <w:t>、</w:t>
      </w:r>
      <w:r>
        <w:rPr>
          <w:rFonts w:hint="eastAsia"/>
          <w:highlight w:val="none"/>
          <w:lang w:val="en-US" w:eastAsia="zh-CN"/>
        </w:rPr>
        <w:t>医疗器械、化妆品</w:t>
      </w:r>
      <w:r>
        <w:rPr>
          <w:rFonts w:hint="eastAsia"/>
          <w:highlight w:val="none"/>
        </w:rPr>
        <w:t>企业日常检查</w:t>
      </w:r>
      <w:r>
        <w:rPr>
          <w:rFonts w:hint="eastAsia"/>
          <w:highlight w:val="none"/>
          <w:lang w:val="en-US" w:eastAsia="zh-CN"/>
        </w:rPr>
        <w:t>相关的术语。</w:t>
      </w:r>
    </w:p>
    <w:p w14:paraId="2F924AA7">
      <w:pPr>
        <w:pStyle w:val="37"/>
        <w:ind w:firstLine="420"/>
        <w:rPr>
          <w:rFonts w:hint="eastAsia"/>
          <w:highlight w:val="none"/>
        </w:rPr>
      </w:pPr>
      <w:r>
        <w:rPr>
          <w:rFonts w:hint="eastAsia"/>
          <w:highlight w:val="none"/>
        </w:rPr>
        <w:t>本文件适用于药品</w:t>
      </w:r>
      <w:r>
        <w:rPr>
          <w:rFonts w:hint="eastAsia"/>
          <w:highlight w:val="none"/>
          <w:lang w:eastAsia="zh-CN"/>
        </w:rPr>
        <w:t>、</w:t>
      </w:r>
      <w:r>
        <w:rPr>
          <w:rFonts w:hint="eastAsia"/>
          <w:highlight w:val="none"/>
          <w:lang w:val="en-US" w:eastAsia="zh-CN"/>
        </w:rPr>
        <w:t>医疗器械、化妆品</w:t>
      </w:r>
      <w:r>
        <w:rPr>
          <w:rFonts w:hint="eastAsia"/>
          <w:highlight w:val="none"/>
        </w:rPr>
        <w:t>企业的日常检查。</w:t>
      </w:r>
    </w:p>
    <w:p w14:paraId="37932241">
      <w:pPr>
        <w:pStyle w:val="38"/>
        <w:spacing w:before="312" w:after="312"/>
        <w:rPr>
          <w:highlight w:val="none"/>
        </w:rPr>
      </w:pPr>
      <w:bookmarkStart w:id="63" w:name="_Toc1928876666"/>
      <w:bookmarkStart w:id="64" w:name="_Toc1480637978"/>
      <w:bookmarkStart w:id="65" w:name="_Toc1442947140"/>
      <w:bookmarkStart w:id="66" w:name="_Toc1314148237"/>
      <w:bookmarkStart w:id="67" w:name="_Toc97191424"/>
      <w:bookmarkStart w:id="68" w:name="_Toc1604003571"/>
      <w:bookmarkStart w:id="69" w:name="_Toc26986772"/>
      <w:bookmarkStart w:id="70" w:name="_Toc231259791"/>
      <w:bookmarkStart w:id="71" w:name="_Toc1719192114"/>
      <w:bookmarkStart w:id="72" w:name="_Toc26986531"/>
      <w:bookmarkStart w:id="73" w:name="_Toc833526753"/>
      <w:bookmarkStart w:id="74" w:name="_Toc26718931"/>
      <w:r>
        <w:rPr>
          <w:rFonts w:hint="eastAsia"/>
          <w:highlight w:val="none"/>
        </w:rPr>
        <w:t>规范性引用文件</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highlight w:val="none"/>
        </w:rPr>
        <w:id w:val="715848253"/>
        <w:placeholder>
          <w:docPart w:val="7CEAB962C1AD44DC8D2BC10E70AC84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678EF785">
          <w:pPr>
            <w:pStyle w:val="37"/>
            <w:ind w:firstLine="420"/>
            <w:rPr>
              <w:highlight w:val="none"/>
            </w:rPr>
          </w:pPr>
          <w:r>
            <w:rPr>
              <w:rFonts w:hint="eastAsia"/>
              <w:highlight w:val="none"/>
            </w:rPr>
            <w:t>本文件没有规范性引用文件。</w:t>
          </w:r>
        </w:p>
      </w:sdtContent>
    </w:sdt>
    <w:p w14:paraId="78BD57D3">
      <w:pPr>
        <w:pStyle w:val="38"/>
        <w:spacing w:before="312" w:after="312"/>
        <w:rPr>
          <w:highlight w:val="none"/>
        </w:rPr>
      </w:pPr>
      <w:bookmarkStart w:id="75" w:name="_Toc97191425"/>
      <w:bookmarkStart w:id="76" w:name="_Toc41994810"/>
      <w:bookmarkStart w:id="77" w:name="_Toc20109864"/>
      <w:bookmarkStart w:id="78" w:name="_Toc216990350"/>
      <w:bookmarkStart w:id="79" w:name="_Toc79756409"/>
      <w:bookmarkStart w:id="80" w:name="_Toc1125797006"/>
      <w:bookmarkStart w:id="81" w:name="_Toc69389613"/>
      <w:bookmarkStart w:id="82" w:name="_Toc1985389914"/>
      <w:bookmarkStart w:id="83" w:name="_Toc1048308290"/>
      <w:r>
        <w:rPr>
          <w:rFonts w:hint="eastAsia"/>
          <w:szCs w:val="21"/>
          <w:highlight w:val="none"/>
        </w:rPr>
        <w:t>术语和定义</w:t>
      </w:r>
      <w:bookmarkEnd w:id="75"/>
      <w:bookmarkEnd w:id="76"/>
      <w:bookmarkEnd w:id="77"/>
      <w:bookmarkEnd w:id="78"/>
      <w:bookmarkEnd w:id="79"/>
      <w:bookmarkEnd w:id="80"/>
      <w:bookmarkEnd w:id="81"/>
      <w:bookmarkEnd w:id="82"/>
      <w:bookmarkEnd w:id="83"/>
    </w:p>
    <w:p w14:paraId="2F6163F4">
      <w:pPr>
        <w:pStyle w:val="37"/>
        <w:ind w:firstLine="420"/>
        <w:rPr>
          <w:highlight w:val="none"/>
        </w:rPr>
      </w:pPr>
      <w:sdt>
        <w:sdtPr>
          <w:rPr>
            <w:highlight w:val="none"/>
          </w:rPr>
          <w:id w:val="6"/>
          <w:placeholder>
            <w:docPart w:val="FC8DA23904774BA79D9386B4AB058F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bookmarkStart w:id="84" w:name="_Toc26986532"/>
          <w:bookmarkEnd w:id="84"/>
          <w:r>
            <w:rPr>
              <w:rFonts w:ascii="宋体" w:hAnsi="Times New Roman" w:eastAsia="宋体" w:cs="Times New Roman"/>
              <w:sz w:val="21"/>
              <w:highlight w:val="none"/>
              <w:lang w:val="en-US" w:eastAsia="zh-CN" w:bidi="ar-SA"/>
            </w:rPr>
            <w:t>下列术语和定义适用于本文件。</w:t>
          </w:r>
        </w:sdtContent>
      </w:sdt>
    </w:p>
    <w:p w14:paraId="29DE3FF8">
      <w:pPr>
        <w:pStyle w:val="47"/>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420" w:leftChars="0" w:right="0" w:rightChars="0" w:hanging="420" w:hangingChars="200"/>
        <w:jc w:val="both"/>
        <w:textAlignment w:val="auto"/>
        <w:outlineLvl w:val="0"/>
        <w:rPr>
          <w:rFonts w:ascii="黑体" w:hAnsi="黑体" w:eastAsia="黑体"/>
          <w:highlight w:val="none"/>
        </w:rPr>
      </w:pPr>
      <w:bookmarkStart w:id="85" w:name="_Toc436170335"/>
      <w:bookmarkStart w:id="86" w:name="_Toc1432135454"/>
      <w:bookmarkStart w:id="87" w:name="_Toc961590042"/>
      <w:bookmarkStart w:id="88" w:name="_Toc529579844"/>
      <w:bookmarkStart w:id="89" w:name="_Toc831551669"/>
      <w:bookmarkStart w:id="90" w:name="_Toc147605370"/>
      <w:bookmarkStart w:id="91" w:name="_Toc847377512"/>
      <w:r>
        <w:rPr>
          <w:rFonts w:hint="eastAsia" w:ascii="黑体" w:hAnsi="黑体" w:eastAsia="黑体"/>
          <w:highlight w:val="none"/>
          <w:lang w:val="en-US" w:eastAsia="zh-CN"/>
        </w:rPr>
        <w:t>基本名词相关术语</w:t>
      </w:r>
      <w:bookmarkEnd w:id="85"/>
      <w:bookmarkEnd w:id="86"/>
      <w:bookmarkEnd w:id="87"/>
      <w:bookmarkEnd w:id="88"/>
      <w:bookmarkEnd w:id="89"/>
      <w:bookmarkEnd w:id="90"/>
      <w:bookmarkEnd w:id="91"/>
    </w:p>
    <w:p w14:paraId="31879302">
      <w:pPr>
        <w:pStyle w:val="36"/>
        <w:keepNext w:val="0"/>
        <w:keepLines w:val="0"/>
        <w:pageBreakBefore w:val="0"/>
        <w:widowControl w:val="0"/>
        <w:kinsoku/>
        <w:wordWrap/>
        <w:overflowPunct/>
        <w:topLinePunct w:val="0"/>
        <w:autoSpaceDE/>
        <w:autoSpaceDN/>
        <w:bidi w:val="0"/>
        <w:adjustRightInd/>
        <w:snapToGrid/>
        <w:spacing w:beforeLines="0" w:afterLines="0" w:line="240" w:lineRule="auto"/>
        <w:ind w:left="420" w:leftChars="0" w:right="0" w:rightChars="0" w:hanging="420" w:hangingChars="200"/>
        <w:jc w:val="both"/>
        <w:textAlignment w:val="auto"/>
        <w:outlineLvl w:val="2"/>
      </w:pPr>
      <w:bookmarkStart w:id="92" w:name="_Toc903859802"/>
      <w:bookmarkStart w:id="93" w:name="_Toc1939349772"/>
      <w:bookmarkStart w:id="94" w:name="_Toc1476204940"/>
      <w:r>
        <w:br w:type="textWrapping"/>
      </w:r>
      <w:r>
        <w:rPr>
          <w:rFonts w:hint="eastAsia"/>
        </w:rPr>
        <w:t>药品　drug</w:t>
      </w:r>
      <w:bookmarkEnd w:id="92"/>
      <w:bookmarkEnd w:id="93"/>
      <w:bookmarkEnd w:id="94"/>
    </w:p>
    <w:p w14:paraId="21E0A016">
      <w:pPr>
        <w:pStyle w:val="37"/>
        <w:ind w:firstLine="420"/>
        <w:rPr>
          <w:rFonts w:hint="eastAsia"/>
          <w:highlight w:val="none"/>
        </w:rPr>
      </w:pPr>
      <w:r>
        <w:rPr>
          <w:rFonts w:hint="eastAsia"/>
          <w:highlight w:val="none"/>
        </w:rPr>
        <w:t>用于预防、治疗、诊断人的疾病，有目的地调节人的生理机能并规定有适应症或者功能主治、用法和用量的物质，包括中药、化学药和生物制品等。</w:t>
      </w:r>
    </w:p>
    <w:p w14:paraId="186F50E1">
      <w:pPr>
        <w:pStyle w:val="37"/>
        <w:ind w:firstLine="420"/>
        <w:rPr>
          <w:rFonts w:hint="eastAsia"/>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2</w:t>
      </w:r>
      <w:r>
        <w:rPr>
          <w:rFonts w:hint="eastAsia"/>
          <w:highlight w:val="none"/>
        </w:rPr>
        <w:t>]</w:t>
      </w:r>
    </w:p>
    <w:p w14:paraId="3BFB94EC">
      <w:pPr>
        <w:pStyle w:val="36"/>
        <w:keepNext w:val="0"/>
        <w:keepLines w:val="0"/>
        <w:pageBreakBefore w:val="0"/>
        <w:widowControl w:val="0"/>
        <w:kinsoku/>
        <w:wordWrap/>
        <w:overflowPunct/>
        <w:topLinePunct w:val="0"/>
        <w:autoSpaceDE/>
        <w:autoSpaceDN/>
        <w:bidi w:val="0"/>
        <w:adjustRightInd/>
        <w:snapToGrid/>
        <w:spacing w:beforeLines="0" w:afterLines="0" w:line="240" w:lineRule="auto"/>
        <w:ind w:left="420" w:leftChars="0" w:right="0" w:rightChars="0" w:hanging="420" w:hangingChars="200"/>
        <w:jc w:val="both"/>
        <w:textAlignment w:val="auto"/>
        <w:outlineLvl w:val="2"/>
        <w:rPr>
          <w:rFonts w:ascii="黑体" w:hAnsi="黑体" w:eastAsia="黑体"/>
          <w:highlight w:val="none"/>
        </w:rPr>
      </w:pPr>
      <w:bookmarkStart w:id="95" w:name="_Toc144823838"/>
      <w:bookmarkStart w:id="96" w:name="_Toc2019856983"/>
      <w:bookmarkStart w:id="97" w:name="_Toc697852789"/>
    </w:p>
    <w:p w14:paraId="7F38531B">
      <w:pPr>
        <w:pStyle w:val="47"/>
        <w:keepNext w:val="0"/>
        <w:keepLines w:val="0"/>
        <w:pageBreakBefore w:val="0"/>
        <w:widowControl/>
        <w:numPr>
          <w:ilvl w:val="2"/>
          <w:numId w:val="0"/>
        </w:numPr>
        <w:kinsoku/>
        <w:wordWrap/>
        <w:overflowPunct/>
        <w:topLinePunct w:val="0"/>
        <w:autoSpaceDE/>
        <w:autoSpaceDN/>
        <w:bidi w:val="0"/>
        <w:adjustRightInd/>
        <w:snapToGrid/>
        <w:spacing w:beforeLines="0"/>
        <w:ind w:leftChars="-200" w:firstLine="840" w:firstLineChars="40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药包材　pharmaceutical packaging materials and containers</w:t>
      </w:r>
    </w:p>
    <w:p w14:paraId="7BD5B7E9">
      <w:pPr>
        <w:pStyle w:val="37"/>
        <w:ind w:firstLine="420"/>
        <w:rPr>
          <w:highlight w:val="none"/>
        </w:rPr>
      </w:pPr>
      <w:r>
        <w:rPr>
          <w:rFonts w:hint="eastAsia"/>
          <w:highlight w:val="none"/>
        </w:rPr>
        <w:t>直接接触药品的包装材料和容器。</w:t>
      </w:r>
    </w:p>
    <w:p w14:paraId="72EF043E">
      <w:pPr>
        <w:pStyle w:val="49"/>
        <w:rPr>
          <w:highlight w:val="none"/>
        </w:rPr>
      </w:pPr>
      <w:r>
        <w:rPr>
          <w:rFonts w:hint="eastAsia"/>
          <w:highlight w:val="none"/>
        </w:rPr>
        <w:t>它是药品不可分割的一部分，伴随药品生产、流通及使用的全过程，包括药用玻璃、金属、药用明胶制品、橡胶、塑料</w:t>
      </w:r>
      <w:r>
        <w:rPr>
          <w:rFonts w:hint="eastAsia"/>
          <w:highlight w:val="none"/>
          <w:lang w:eastAsia="zh-CN"/>
        </w:rPr>
        <w:t>（</w:t>
      </w:r>
      <w:r>
        <w:rPr>
          <w:rFonts w:hint="eastAsia"/>
          <w:highlight w:val="none"/>
        </w:rPr>
        <w:t>容器、片材、膜</w:t>
      </w:r>
      <w:r>
        <w:rPr>
          <w:rFonts w:hint="eastAsia"/>
          <w:highlight w:val="none"/>
          <w:lang w:eastAsia="zh-CN"/>
        </w:rPr>
        <w:t>）</w:t>
      </w:r>
      <w:r>
        <w:rPr>
          <w:rFonts w:hint="eastAsia"/>
          <w:highlight w:val="none"/>
        </w:rPr>
        <w:t>及其复合片</w:t>
      </w:r>
      <w:r>
        <w:rPr>
          <w:rFonts w:hint="eastAsia"/>
          <w:highlight w:val="none"/>
          <w:lang w:eastAsia="zh-CN"/>
        </w:rPr>
        <w:t>（</w:t>
      </w:r>
      <w:r>
        <w:rPr>
          <w:rFonts w:hint="eastAsia"/>
          <w:highlight w:val="none"/>
        </w:rPr>
        <w:t>膜</w:t>
      </w:r>
      <w:r>
        <w:rPr>
          <w:rFonts w:hint="eastAsia"/>
          <w:highlight w:val="none"/>
          <w:lang w:eastAsia="zh-CN"/>
        </w:rPr>
        <w:t>）</w:t>
      </w:r>
      <w:r>
        <w:rPr>
          <w:rFonts w:hint="eastAsia"/>
          <w:highlight w:val="none"/>
        </w:rPr>
        <w:t>等。</w:t>
      </w:r>
    </w:p>
    <w:p w14:paraId="11D98C28">
      <w:pPr>
        <w:pStyle w:val="37"/>
        <w:ind w:firstLine="420"/>
        <w:rPr>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4</w:t>
      </w:r>
      <w:r>
        <w:rPr>
          <w:rFonts w:hint="eastAsia"/>
          <w:highlight w:val="none"/>
        </w:rPr>
        <w:t>]</w:t>
      </w:r>
    </w:p>
    <w:p w14:paraId="7DD8016D">
      <w:pPr>
        <w:pStyle w:val="36"/>
        <w:keepNext w:val="0"/>
        <w:keepLines w:val="0"/>
        <w:pageBreakBefore w:val="0"/>
        <w:widowControl w:val="0"/>
        <w:kinsoku/>
        <w:wordWrap/>
        <w:overflowPunct/>
        <w:topLinePunct w:val="0"/>
        <w:autoSpaceDE/>
        <w:autoSpaceDN/>
        <w:bidi w:val="0"/>
        <w:adjustRightInd/>
        <w:snapToGrid/>
        <w:spacing w:beforeLines="0" w:afterLines="0" w:line="240" w:lineRule="auto"/>
        <w:ind w:left="420" w:leftChars="0" w:right="0" w:rightChars="0" w:hanging="420" w:hangingChars="200"/>
        <w:jc w:val="both"/>
        <w:textAlignment w:val="auto"/>
        <w:outlineLvl w:val="2"/>
        <w:rPr>
          <w:rFonts w:ascii="黑体" w:hAnsi="黑体" w:eastAsia="黑体"/>
          <w:highlight w:val="none"/>
        </w:rPr>
      </w:pPr>
      <w:r>
        <w:rPr>
          <w:rFonts w:ascii="黑体" w:hAnsi="黑体" w:eastAsia="黑体"/>
          <w:highlight w:val="none"/>
        </w:rPr>
        <w:br w:type="textWrapping"/>
      </w:r>
      <w:r>
        <w:rPr>
          <w:rFonts w:hint="eastAsia" w:ascii="黑体" w:hAnsi="黑体" w:eastAsia="黑体" w:cs="Times New Roman"/>
          <w:sz w:val="21"/>
          <w:highlight w:val="none"/>
          <w:lang w:val="en-US" w:eastAsia="zh-CN" w:bidi="ar-SA"/>
        </w:rPr>
        <w:t>药用辅料　pharmaceutical excipients</w:t>
      </w:r>
    </w:p>
    <w:p w14:paraId="48B703EE">
      <w:pPr>
        <w:pStyle w:val="37"/>
        <w:keepNext w:val="0"/>
        <w:keepLines w:val="0"/>
        <w:pageBreakBefore w:val="0"/>
        <w:kinsoku/>
        <w:wordWrap/>
        <w:overflowPunct/>
        <w:topLinePunct w:val="0"/>
        <w:bidi w:val="0"/>
        <w:adjustRightInd/>
        <w:snapToGrid/>
        <w:spacing w:line="240" w:lineRule="auto"/>
        <w:ind w:right="0" w:rightChars="0" w:firstLine="420"/>
        <w:jc w:val="both"/>
        <w:textAlignment w:val="auto"/>
        <w:rPr>
          <w:rFonts w:hint="eastAsia"/>
          <w:highlight w:val="none"/>
        </w:rPr>
      </w:pPr>
      <w:r>
        <w:rPr>
          <w:rFonts w:hint="eastAsia"/>
          <w:highlight w:val="none"/>
        </w:rPr>
        <w:t>生产药品和调配处方时所用的赋形剂和附加剂。</w:t>
      </w:r>
    </w:p>
    <w:p w14:paraId="02E15B3E">
      <w:pPr>
        <w:pStyle w:val="37"/>
        <w:ind w:firstLine="420"/>
        <w:rPr>
          <w:rFonts w:hint="eastAsia"/>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5</w:t>
      </w:r>
      <w:r>
        <w:rPr>
          <w:rFonts w:hint="eastAsia"/>
          <w:highlight w:val="none"/>
        </w:rPr>
        <w:t>]</w:t>
      </w:r>
    </w:p>
    <w:p w14:paraId="7C399AB6">
      <w:pPr>
        <w:pStyle w:val="36"/>
        <w:keepNext w:val="0"/>
        <w:keepLines w:val="0"/>
        <w:pageBreakBefore w:val="0"/>
        <w:widowControl w:val="0"/>
        <w:kinsoku/>
        <w:wordWrap/>
        <w:overflowPunct/>
        <w:topLinePunct w:val="0"/>
        <w:autoSpaceDE/>
        <w:autoSpaceDN/>
        <w:bidi w:val="0"/>
        <w:adjustRightInd/>
        <w:snapToGrid/>
        <w:spacing w:beforeLines="0" w:afterLines="0" w:line="240" w:lineRule="auto"/>
        <w:ind w:left="420" w:leftChars="0" w:right="0" w:rightChars="0" w:hanging="420" w:hangingChars="200"/>
        <w:jc w:val="both"/>
        <w:textAlignment w:val="auto"/>
        <w:outlineLvl w:val="2"/>
        <w:rPr>
          <w:rFonts w:ascii="黑体" w:hAnsi="黑体" w:eastAsia="黑体"/>
          <w:highlight w:val="none"/>
        </w:rPr>
      </w:pPr>
      <w:r>
        <w:rPr>
          <w:rFonts w:ascii="黑体" w:hAnsi="黑体" w:eastAsia="黑体"/>
          <w:highlight w:val="none"/>
        </w:rPr>
        <w:br w:type="textWrapping"/>
      </w:r>
      <w:r>
        <w:rPr>
          <w:rFonts w:hint="eastAsia" w:ascii="黑体" w:hAnsi="黑体" w:eastAsia="黑体"/>
          <w:highlight w:val="none"/>
        </w:rPr>
        <w:t>医疗器械　medical device</w:t>
      </w:r>
      <w:bookmarkEnd w:id="95"/>
      <w:bookmarkEnd w:id="96"/>
      <w:bookmarkEnd w:id="97"/>
    </w:p>
    <w:p w14:paraId="0ED0E014">
      <w:pPr>
        <w:pStyle w:val="37"/>
        <w:ind w:firstLine="420"/>
        <w:rPr>
          <w:highlight w:val="none"/>
        </w:rPr>
      </w:pPr>
      <w:r>
        <w:rPr>
          <w:rFonts w:hint="eastAsia"/>
          <w:highlight w:val="none"/>
        </w:rPr>
        <w:t>直接或者间接用于人体的仪器、设备、器具、体外诊断试剂及校准物、材料以及其他类似或者相关的物品。</w:t>
      </w:r>
    </w:p>
    <w:p w14:paraId="26784F3B">
      <w:pPr>
        <w:pStyle w:val="49"/>
        <w:rPr>
          <w:highlight w:val="none"/>
        </w:rPr>
      </w:pPr>
      <w:r>
        <w:rPr>
          <w:rFonts w:hint="eastAsia"/>
          <w:highlight w:val="none"/>
        </w:rPr>
        <w:t>包括所需要的计算机软件；其效用主要通过物理等方式获得，不是通过药理学、免疫学或者代谢的方式获得，或者虽然有这些方式参与但是只起辅助作用。</w:t>
      </w:r>
    </w:p>
    <w:p w14:paraId="2303A0DF">
      <w:pPr>
        <w:pStyle w:val="37"/>
        <w:ind w:firstLine="420"/>
        <w:rPr>
          <w:rFonts w:hint="eastAsia"/>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3</w:t>
      </w:r>
      <w:r>
        <w:rPr>
          <w:rFonts w:hint="eastAsia"/>
          <w:highlight w:val="none"/>
        </w:rPr>
        <w:t>]</w:t>
      </w:r>
    </w:p>
    <w:p w14:paraId="545870A0">
      <w:pPr>
        <w:pStyle w:val="35"/>
        <w:keepNext w:val="0"/>
        <w:keepLines w:val="0"/>
        <w:pageBreakBefore w:val="0"/>
        <w:widowControl/>
        <w:kinsoku/>
        <w:wordWrap/>
        <w:overflowPunct/>
        <w:topLinePunct w:val="0"/>
        <w:autoSpaceDE/>
        <w:autoSpaceDN/>
        <w:bidi w:val="0"/>
        <w:adjustRightInd/>
        <w:snapToGrid/>
        <w:spacing w:afterLines="0"/>
        <w:ind w:left="0" w:firstLine="0" w:firstLineChars="0"/>
        <w:textAlignment w:val="auto"/>
        <w:rPr>
          <w:rFonts w:hint="eastAsia" w:ascii="黑体" w:hAnsi="黑体" w:eastAsia="黑体"/>
          <w:highlight w:val="none"/>
          <w:lang w:val="en-US" w:eastAsia="zh-CN"/>
        </w:rPr>
      </w:pPr>
    </w:p>
    <w:p w14:paraId="1CF4419D">
      <w:pPr>
        <w:pStyle w:val="47"/>
        <w:numPr>
          <w:ilvl w:val="2"/>
          <w:numId w:val="0"/>
        </w:numPr>
        <w:ind w:leftChars="-200" w:firstLine="840" w:firstLineChars="400"/>
        <w:rPr>
          <w:rFonts w:hint="default" w:ascii="黑体" w:hAnsi="黑体" w:eastAsia="黑体" w:cs="Times New Roman"/>
          <w:sz w:val="21"/>
          <w:highlight w:val="cyan"/>
          <w:lang w:val="en-US" w:eastAsia="zh-CN" w:bidi="ar-SA"/>
        </w:rPr>
      </w:pPr>
      <w:r>
        <w:rPr>
          <w:rFonts w:hint="eastAsia" w:ascii="黑体" w:hAnsi="黑体" w:eastAsia="黑体" w:cs="Times New Roman"/>
          <w:sz w:val="21"/>
          <w:highlight w:val="none"/>
          <w:lang w:val="en-US" w:eastAsia="zh-CN" w:bidi="ar-SA"/>
        </w:rPr>
        <w:t>第一类医疗器械 class Ⅰ medical devices</w:t>
      </w:r>
    </w:p>
    <w:p w14:paraId="31573F1B">
      <w:pPr>
        <w:pStyle w:val="37"/>
        <w:rPr>
          <w:highlight w:val="none"/>
        </w:rPr>
      </w:pPr>
      <w:r>
        <w:rPr>
          <w:rFonts w:hint="eastAsia"/>
          <w:highlight w:val="none"/>
          <w:lang w:val="en-US" w:eastAsia="zh-CN"/>
        </w:rPr>
        <w:t>对人体没有直接风险或仅有非常低的风险，</w:t>
      </w:r>
      <w:r>
        <w:rPr>
          <w:rFonts w:hint="eastAsia"/>
          <w:highlight w:val="none"/>
        </w:rPr>
        <w:t>通过常规管理足以保证其安全性、有效性的医疗器械。</w:t>
      </w:r>
    </w:p>
    <w:p w14:paraId="354F8C25">
      <w:pPr>
        <w:pStyle w:val="35"/>
        <w:keepNext w:val="0"/>
        <w:keepLines w:val="0"/>
        <w:pageBreakBefore w:val="0"/>
        <w:widowControl/>
        <w:kinsoku/>
        <w:wordWrap/>
        <w:overflowPunct/>
        <w:topLinePunct w:val="0"/>
        <w:autoSpaceDE/>
        <w:autoSpaceDN/>
        <w:bidi w:val="0"/>
        <w:adjustRightInd/>
        <w:snapToGrid/>
        <w:spacing w:afterLines="0"/>
        <w:ind w:left="0" w:firstLine="0" w:firstLineChars="0"/>
        <w:textAlignment w:val="auto"/>
        <w:rPr>
          <w:rFonts w:hint="eastAsia" w:ascii="黑体" w:hAnsi="黑体" w:eastAsia="黑体"/>
          <w:highlight w:val="none"/>
          <w:lang w:val="en-US" w:eastAsia="zh-CN"/>
        </w:rPr>
      </w:pPr>
    </w:p>
    <w:p w14:paraId="4AA019C3">
      <w:pPr>
        <w:pStyle w:val="47"/>
        <w:numPr>
          <w:ilvl w:val="2"/>
          <w:numId w:val="0"/>
        </w:numPr>
        <w:ind w:leftChars="-200" w:firstLine="840" w:firstLineChars="400"/>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第二类医疗器械 class Ⅱ medical devices</w:t>
      </w:r>
    </w:p>
    <w:p w14:paraId="649D6440">
      <w:pPr>
        <w:pStyle w:val="37"/>
        <w:ind w:firstLine="420"/>
        <w:rPr>
          <w:highlight w:val="none"/>
        </w:rPr>
      </w:pPr>
      <w:r>
        <w:rPr>
          <w:rFonts w:hint="eastAsia"/>
          <w:highlight w:val="none"/>
        </w:rPr>
        <w:t>设计、制造和使用相对复杂</w:t>
      </w:r>
      <w:r>
        <w:rPr>
          <w:rFonts w:hint="eastAsia"/>
          <w:highlight w:val="none"/>
          <w:lang w:eastAsia="zh-CN"/>
        </w:rPr>
        <w:t>，</w:t>
      </w:r>
      <w:r>
        <w:rPr>
          <w:rFonts w:hint="eastAsia"/>
          <w:highlight w:val="none"/>
          <w:lang w:val="en-US" w:eastAsia="zh-CN"/>
        </w:rPr>
        <w:t>可能对</w:t>
      </w:r>
      <w:r>
        <w:rPr>
          <w:rFonts w:hint="eastAsia"/>
          <w:highlight w:val="none"/>
        </w:rPr>
        <w:t>人体造成</w:t>
      </w:r>
      <w:r>
        <w:rPr>
          <w:rFonts w:hint="eastAsia"/>
          <w:highlight w:val="none"/>
          <w:lang w:val="en-US" w:eastAsia="zh-CN"/>
        </w:rPr>
        <w:t>较高</w:t>
      </w:r>
      <w:r>
        <w:rPr>
          <w:rFonts w:hint="eastAsia"/>
          <w:highlight w:val="none"/>
        </w:rPr>
        <w:t>风险，需要严格控制管理以保证其安全、有效的医疗器械。</w:t>
      </w:r>
    </w:p>
    <w:p w14:paraId="44949A27">
      <w:pPr>
        <w:pStyle w:val="35"/>
        <w:keepNext w:val="0"/>
        <w:keepLines w:val="0"/>
        <w:pageBreakBefore w:val="0"/>
        <w:widowControl/>
        <w:kinsoku/>
        <w:wordWrap/>
        <w:overflowPunct/>
        <w:topLinePunct w:val="0"/>
        <w:autoSpaceDE/>
        <w:autoSpaceDN/>
        <w:bidi w:val="0"/>
        <w:adjustRightInd/>
        <w:snapToGrid/>
        <w:spacing w:before="157" w:beforeLines="50" w:afterLines="0" w:line="240" w:lineRule="auto"/>
        <w:ind w:left="0" w:leftChars="0" w:right="0" w:rightChars="0" w:firstLine="0" w:firstLineChars="0"/>
        <w:jc w:val="both"/>
        <w:textAlignment w:val="auto"/>
        <w:outlineLvl w:val="3"/>
        <w:rPr>
          <w:rFonts w:hint="eastAsia" w:ascii="黑体" w:hAnsi="黑体" w:eastAsia="黑体"/>
          <w:highlight w:val="none"/>
        </w:rPr>
      </w:pPr>
      <w:r>
        <w:rPr>
          <w:rFonts w:hint="eastAsia" w:ascii="黑体" w:hAnsi="黑体" w:eastAsia="黑体"/>
          <w:highlight w:val="none"/>
          <w:lang w:val="en-US" w:eastAsia="zh-CN"/>
        </w:rPr>
        <w:br w:type="textWrapping"/>
      </w:r>
      <w:r>
        <w:rPr>
          <w:rFonts w:hint="eastAsia" w:ascii="黑体" w:hAnsi="黑体" w:eastAsia="黑体" w:cs="Times New Roman"/>
          <w:sz w:val="21"/>
          <w:highlight w:val="none"/>
          <w:lang w:val="en-US" w:eastAsia="zh-CN" w:bidi="ar-SA"/>
        </w:rPr>
        <w:t xml:space="preserve">    第三类医疗器械 class Ⅲ medical devices</w:t>
      </w:r>
    </w:p>
    <w:p w14:paraId="3C06F8F4">
      <w:pPr>
        <w:pStyle w:val="37"/>
        <w:ind w:firstLine="420"/>
        <w:rPr>
          <w:rFonts w:hint="eastAsia"/>
          <w:highlight w:val="none"/>
        </w:rPr>
      </w:pPr>
      <w:r>
        <w:rPr>
          <w:rFonts w:hint="eastAsia"/>
          <w:highlight w:val="none"/>
          <w:lang w:eastAsia="zh-CN"/>
        </w:rPr>
        <w:t>涉及</w:t>
      </w:r>
      <w:r>
        <w:rPr>
          <w:rFonts w:hint="eastAsia"/>
          <w:highlight w:val="none"/>
        </w:rPr>
        <w:t>重大的疾病、伤害治疗，或对生命支持和维持起重要作用的</w:t>
      </w:r>
      <w:r>
        <w:rPr>
          <w:rFonts w:hint="eastAsia"/>
          <w:highlight w:val="none"/>
          <w:lang w:eastAsia="zh-CN"/>
        </w:rPr>
        <w:t>，</w:t>
      </w:r>
      <w:r>
        <w:rPr>
          <w:rFonts w:hint="eastAsia"/>
          <w:highlight w:val="none"/>
        </w:rPr>
        <w:t>可能对人体产生严重的风险</w:t>
      </w:r>
      <w:r>
        <w:rPr>
          <w:rFonts w:hint="eastAsia"/>
          <w:highlight w:val="none"/>
          <w:lang w:eastAsia="zh-CN"/>
        </w:rPr>
        <w:t>，</w:t>
      </w:r>
      <w:r>
        <w:rPr>
          <w:rFonts w:hint="eastAsia"/>
          <w:highlight w:val="none"/>
        </w:rPr>
        <w:t>需要采取特别措施严格控制管理以保证其安全、有效的医疗器械。</w:t>
      </w:r>
    </w:p>
    <w:p w14:paraId="0E11CF55">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ascii="黑体" w:hAnsi="黑体" w:eastAsia="黑体"/>
          <w:highlight w:val="none"/>
        </w:rPr>
      </w:pPr>
      <w:bookmarkStart w:id="98" w:name="_Toc314821505"/>
      <w:bookmarkEnd w:id="98"/>
      <w:bookmarkStart w:id="99" w:name="_Toc955273215"/>
      <w:bookmarkEnd w:id="99"/>
      <w:bookmarkStart w:id="100" w:name="_Toc1403628456"/>
      <w:bookmarkEnd w:id="100"/>
    </w:p>
    <w:p w14:paraId="438C7E98">
      <w:pPr>
        <w:pStyle w:val="47"/>
        <w:keepNext w:val="0"/>
        <w:keepLines w:val="0"/>
        <w:pageBreakBefore w:val="0"/>
        <w:widowControl/>
        <w:numPr>
          <w:ilvl w:val="2"/>
          <w:numId w:val="0"/>
        </w:numPr>
        <w:kinsoku/>
        <w:wordWrap/>
        <w:overflowPunct/>
        <w:topLinePunct w:val="0"/>
        <w:autoSpaceDE/>
        <w:autoSpaceDN/>
        <w:bidi w:val="0"/>
        <w:adjustRightInd/>
        <w:snapToGrid/>
        <w:spacing w:beforeLines="0"/>
        <w:ind w:leftChars="-200" w:firstLine="840" w:firstLineChars="400"/>
        <w:textAlignment w:val="auto"/>
        <w:rPr>
          <w:rFonts w:hint="default" w:ascii="黑体" w:hAnsi="黑体" w:eastAsia="黑体"/>
          <w:highlight w:val="none"/>
          <w:lang w:val="en-US" w:eastAsia="zh-CN"/>
        </w:rPr>
      </w:pPr>
      <w:r>
        <w:rPr>
          <w:rFonts w:hint="eastAsia" w:ascii="黑体" w:hAnsi="黑体" w:eastAsia="黑体"/>
          <w:highlight w:val="none"/>
          <w:lang w:val="en-US" w:eastAsia="zh-CN"/>
        </w:rPr>
        <w:t>化妆品 cosmetics</w:t>
      </w:r>
    </w:p>
    <w:p w14:paraId="2C327AAA">
      <w:pPr>
        <w:pStyle w:val="37"/>
        <w:ind w:firstLine="420"/>
        <w:rPr>
          <w:rFonts w:hint="eastAsia" w:ascii="宋体" w:hAnsi="Times New Roman" w:eastAsia="宋体"/>
          <w:highlight w:val="none"/>
        </w:rPr>
      </w:pPr>
      <w:r>
        <w:rPr>
          <w:rFonts w:hint="eastAsia" w:ascii="宋体" w:hAnsi="Times New Roman" w:eastAsia="宋体" w:cs="Times New Roman"/>
          <w:kern w:val="0"/>
          <w:sz w:val="21"/>
          <w:szCs w:val="20"/>
          <w:highlight w:val="none"/>
          <w:lang w:val="en-US" w:eastAsia="zh-CN" w:bidi="ar-SA"/>
        </w:rPr>
        <w:t>以涂擦、喷洒或者其他类似方法，施用于皮肤、毛发、指甲、口唇等人体表面，以清洁、保护、美化、修饰为目的的日用化学工业产品。</w:t>
      </w:r>
      <w:bookmarkStart w:id="101" w:name="_Toc1952811974"/>
      <w:bookmarkEnd w:id="101"/>
      <w:bookmarkStart w:id="102" w:name="_Toc675597697"/>
      <w:bookmarkEnd w:id="102"/>
      <w:bookmarkStart w:id="103" w:name="_Toc689179533"/>
      <w:bookmarkEnd w:id="103"/>
    </w:p>
    <w:p w14:paraId="1534142F">
      <w:pPr>
        <w:pStyle w:val="47"/>
        <w:spacing w:before="157" w:beforeLines="50" w:after="157" w:afterLines="50"/>
        <w:ind w:left="420" w:hanging="420" w:hangingChars="200"/>
        <w:outlineLvl w:val="0"/>
        <w:rPr>
          <w:rFonts w:ascii="黑体" w:hAnsi="黑体" w:eastAsia="黑体"/>
          <w:highlight w:val="none"/>
        </w:rPr>
      </w:pPr>
      <w:bookmarkStart w:id="104" w:name="_Toc1545007677"/>
      <w:bookmarkStart w:id="105" w:name="_Toc459841305"/>
      <w:bookmarkStart w:id="106" w:name="_Toc1629392219"/>
      <w:bookmarkStart w:id="107" w:name="_Toc1909780927"/>
      <w:bookmarkStart w:id="108" w:name="_Toc65326207"/>
      <w:bookmarkStart w:id="109" w:name="_Toc1353133134"/>
      <w:bookmarkStart w:id="110" w:name="_Toc1584836531"/>
      <w:r>
        <w:rPr>
          <w:rFonts w:hint="eastAsia" w:ascii="黑体" w:hAnsi="黑体" w:eastAsia="黑体" w:cs="Times New Roman"/>
          <w:sz w:val="21"/>
          <w:szCs w:val="20"/>
          <w:highlight w:val="none"/>
          <w:lang w:val="en-US" w:eastAsia="zh-CN" w:bidi="ar-SA"/>
        </w:rPr>
        <w:t>检查相关术语</w:t>
      </w:r>
      <w:bookmarkEnd w:id="104"/>
      <w:bookmarkEnd w:id="105"/>
      <w:bookmarkEnd w:id="106"/>
      <w:bookmarkEnd w:id="107"/>
      <w:bookmarkEnd w:id="108"/>
      <w:bookmarkEnd w:id="109"/>
      <w:bookmarkEnd w:id="110"/>
    </w:p>
    <w:p w14:paraId="161D16F5">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ascii="黑体" w:hAnsi="黑体" w:eastAsia="黑体"/>
          <w:highlight w:val="none"/>
        </w:rPr>
      </w:pPr>
      <w:bookmarkStart w:id="111" w:name="_Toc1719251462"/>
      <w:bookmarkEnd w:id="111"/>
      <w:bookmarkStart w:id="112" w:name="_Toc868357020"/>
      <w:bookmarkEnd w:id="112"/>
      <w:bookmarkStart w:id="113" w:name="_Toc1107902776"/>
      <w:bookmarkEnd w:id="113"/>
    </w:p>
    <w:p w14:paraId="3625F12B">
      <w:pPr>
        <w:pStyle w:val="47"/>
        <w:keepNext w:val="0"/>
        <w:keepLines w:val="0"/>
        <w:pageBreakBefore w:val="0"/>
        <w:widowControl/>
        <w:numPr>
          <w:ilvl w:val="2"/>
          <w:numId w:val="0"/>
        </w:numPr>
        <w:kinsoku/>
        <w:wordWrap/>
        <w:overflowPunct/>
        <w:topLinePunct w:val="0"/>
        <w:autoSpaceDE/>
        <w:autoSpaceDN/>
        <w:bidi w:val="0"/>
        <w:adjustRightInd/>
        <w:snapToGrid/>
        <w:spacing w:beforeLines="0"/>
        <w:ind w:leftChars="-200" w:firstLine="840" w:firstLineChars="400"/>
        <w:textAlignment w:val="auto"/>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质量　quality</w:t>
      </w:r>
    </w:p>
    <w:p w14:paraId="236FECA2">
      <w:pPr>
        <w:pStyle w:val="37"/>
        <w:ind w:firstLine="420"/>
        <w:rPr>
          <w:highlight w:val="none"/>
        </w:rPr>
      </w:pPr>
      <w:r>
        <w:rPr>
          <w:rFonts w:hint="eastAsia"/>
          <w:highlight w:val="none"/>
        </w:rPr>
        <w:t>客体的一组固有特性满足要求的程度。</w:t>
      </w:r>
    </w:p>
    <w:p w14:paraId="676A373C">
      <w:pPr>
        <w:pStyle w:val="54"/>
        <w:rPr>
          <w:highlight w:val="none"/>
        </w:rPr>
      </w:pPr>
      <w:r>
        <w:rPr>
          <w:rFonts w:hint="eastAsia"/>
          <w:highlight w:val="none"/>
        </w:rPr>
        <w:t>术语“质量”可使用形容词来修饰，如差、好或优秀。</w:t>
      </w:r>
    </w:p>
    <w:p w14:paraId="0EE1716F">
      <w:pPr>
        <w:pStyle w:val="54"/>
        <w:rPr>
          <w:highlight w:val="none"/>
        </w:rPr>
      </w:pPr>
      <w:r>
        <w:rPr>
          <w:rFonts w:hint="eastAsia"/>
          <w:highlight w:val="none"/>
        </w:rPr>
        <w:t>“固有”（其对应的是“赋予”）是指存在于客体中。</w:t>
      </w:r>
    </w:p>
    <w:p w14:paraId="2AF7E723">
      <w:pPr>
        <w:pStyle w:val="54"/>
        <w:rPr>
          <w:highlight w:val="none"/>
        </w:rPr>
      </w:pPr>
      <w:r>
        <w:rPr>
          <w:rFonts w:hint="eastAsia"/>
          <w:highlight w:val="none"/>
          <w:lang w:val="en-US" w:eastAsia="zh-CN"/>
        </w:rPr>
        <w:t>药械化企业</w:t>
      </w:r>
      <w:r>
        <w:rPr>
          <w:rFonts w:hint="eastAsia"/>
          <w:highlight w:val="none"/>
        </w:rPr>
        <w:t>产品质量指反映医药产品符合法定质量标准和预期效用的特征（结果）之总和</w:t>
      </w:r>
      <w:r>
        <w:rPr>
          <w:rFonts w:hint="eastAsia"/>
          <w:highlight w:val="none"/>
          <w:lang w:eastAsia="zh-CN"/>
        </w:rPr>
        <w:t>，</w:t>
      </w:r>
      <w:r>
        <w:rPr>
          <w:rFonts w:hint="eastAsia"/>
          <w:highlight w:val="none"/>
        </w:rPr>
        <w:t>即产品应具有有效性、安全性、稳定性、质量可控性、经济性等。</w:t>
      </w:r>
    </w:p>
    <w:p w14:paraId="17B9CD54">
      <w:pPr>
        <w:pStyle w:val="37"/>
        <w:ind w:firstLine="420"/>
        <w:rPr>
          <w:rFonts w:hint="eastAsia"/>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7，有修改</w:t>
      </w:r>
      <w:r>
        <w:rPr>
          <w:rFonts w:hint="eastAsia"/>
          <w:highlight w:val="none"/>
        </w:rPr>
        <w:t>]</w:t>
      </w:r>
    </w:p>
    <w:p w14:paraId="07584E72">
      <w:pPr>
        <w:pStyle w:val="36"/>
        <w:keepNext w:val="0"/>
        <w:keepLines w:val="0"/>
        <w:pageBreakBefore w:val="0"/>
        <w:widowControl w:val="0"/>
        <w:kinsoku/>
        <w:wordWrap/>
        <w:overflowPunct/>
        <w:topLinePunct w:val="0"/>
        <w:autoSpaceDE/>
        <w:autoSpaceDN/>
        <w:bidi w:val="0"/>
        <w:adjustRightInd/>
        <w:snapToGrid/>
        <w:spacing w:before="157" w:beforeLines="50" w:afterLines="0" w:line="240" w:lineRule="auto"/>
        <w:ind w:left="420" w:leftChars="0" w:right="0" w:rightChars="0" w:hanging="420" w:hangingChars="200"/>
        <w:jc w:val="both"/>
        <w:textAlignment w:val="auto"/>
        <w:outlineLvl w:val="2"/>
        <w:rPr>
          <w:rFonts w:ascii="黑体" w:hAnsi="黑体" w:eastAsia="黑体"/>
          <w:highlight w:val="none"/>
        </w:rPr>
      </w:pPr>
      <w:bookmarkStart w:id="114" w:name="_Toc1838736742"/>
      <w:bookmarkStart w:id="115" w:name="_Toc177570128"/>
      <w:bookmarkStart w:id="116" w:name="_Toc1066851449"/>
      <w:r>
        <w:rPr>
          <w:rFonts w:ascii="黑体" w:hAnsi="黑体" w:eastAsia="黑体"/>
          <w:highlight w:val="none"/>
        </w:rPr>
        <w:br w:type="textWrapping"/>
      </w:r>
      <w:r>
        <w:rPr>
          <w:rFonts w:hint="eastAsia" w:ascii="黑体" w:hAnsi="黑体" w:eastAsia="黑体" w:cs="Times New Roman"/>
          <w:sz w:val="21"/>
          <w:highlight w:val="none"/>
          <w:lang w:val="en-US" w:eastAsia="zh-CN" w:bidi="ar-SA"/>
        </w:rPr>
        <w:t>质量管理规范　good manufacturing practice</w:t>
      </w:r>
      <w:bookmarkEnd w:id="114"/>
      <w:bookmarkEnd w:id="115"/>
      <w:bookmarkEnd w:id="116"/>
    </w:p>
    <w:p w14:paraId="4F8E802D">
      <w:pPr>
        <w:pStyle w:val="37"/>
        <w:ind w:firstLine="420"/>
        <w:rPr>
          <w:highlight w:val="none"/>
        </w:rPr>
      </w:pPr>
      <w:r>
        <w:rPr>
          <w:rFonts w:hint="eastAsia"/>
          <w:highlight w:val="none"/>
          <w:lang w:val="en-US" w:eastAsia="zh-CN"/>
        </w:rPr>
        <w:t>药械化</w:t>
      </w:r>
      <w:r>
        <w:rPr>
          <w:rFonts w:hint="eastAsia"/>
          <w:highlight w:val="none"/>
        </w:rPr>
        <w:t>产品供应链中组织从事研发生产经营活动的基本准则。</w:t>
      </w:r>
    </w:p>
    <w:p w14:paraId="135C247C">
      <w:pPr>
        <w:pStyle w:val="49"/>
        <w:rPr>
          <w:rFonts w:hint="eastAsia"/>
          <w:highlight w:val="none"/>
          <w:lang w:val="en-US" w:eastAsia="zh-CN"/>
        </w:rPr>
      </w:pPr>
      <w:r>
        <w:rPr>
          <w:rFonts w:hint="eastAsia"/>
          <w:lang w:val="en-US" w:eastAsia="zh-CN"/>
        </w:rPr>
        <w:t>药械化质量管理规范决定于组织在供应链中的位置及类型，药品质量管理规范包括生产质量管理规范（GMP）、药品经营质量管理规范（GSP）、药物警戒质量管理规范（GVP）、药物非临床研究质量管理规范（GLP）、药物临床试验质量管理规范（GCP）等；医疗器械质量管理规范包括医疗器械生产质量管理规范、医疗器械经营质</w:t>
      </w:r>
      <w:r>
        <w:rPr>
          <w:rFonts w:hint="eastAsia"/>
          <w:highlight w:val="none"/>
          <w:lang w:val="en-US" w:eastAsia="zh-CN"/>
        </w:rPr>
        <w:t>量管理规范等；化妆品生产质量管理规范等。</w:t>
      </w:r>
    </w:p>
    <w:p w14:paraId="55DEFB28">
      <w:pPr>
        <w:pStyle w:val="37"/>
        <w:ind w:firstLine="420"/>
        <w:rPr>
          <w:highlight w:val="none"/>
        </w:rPr>
      </w:pPr>
      <w:r>
        <w:rPr>
          <w:rFonts w:hint="eastAsia"/>
          <w:highlight w:val="none"/>
        </w:rPr>
        <w:t>[来源：</w:t>
      </w:r>
      <w:r>
        <w:rPr>
          <w:rFonts w:hint="eastAsia"/>
          <w:highlight w:val="none"/>
          <w:lang w:val="en-US" w:eastAsia="zh-CN"/>
        </w:rPr>
        <w:t>DB 37</w:t>
      </w:r>
      <w:r>
        <w:rPr>
          <w:rFonts w:hint="eastAsia"/>
          <w:highlight w:val="none"/>
        </w:rPr>
        <w:t xml:space="preserve">/T </w:t>
      </w:r>
      <w:r>
        <w:rPr>
          <w:rFonts w:hint="eastAsia"/>
          <w:highlight w:val="none"/>
          <w:lang w:val="en-US" w:eastAsia="zh-CN"/>
        </w:rPr>
        <w:t>4429</w:t>
      </w:r>
      <w:r>
        <w:rPr>
          <w:rFonts w:hint="eastAsia"/>
          <w:highlight w:val="none"/>
        </w:rPr>
        <w:t>—20</w:t>
      </w:r>
      <w:r>
        <w:rPr>
          <w:rFonts w:hint="eastAsia"/>
          <w:highlight w:val="none"/>
          <w:lang w:val="en-US" w:eastAsia="zh-CN"/>
        </w:rPr>
        <w:t>21</w:t>
      </w:r>
      <w:r>
        <w:rPr>
          <w:rFonts w:hint="eastAsia"/>
          <w:highlight w:val="none"/>
        </w:rPr>
        <w:t>，3.</w:t>
      </w:r>
      <w:r>
        <w:rPr>
          <w:rFonts w:hint="eastAsia"/>
          <w:highlight w:val="none"/>
          <w:lang w:val="en-US" w:eastAsia="zh-CN"/>
        </w:rPr>
        <w:t>8，有修改</w:t>
      </w:r>
      <w:r>
        <w:rPr>
          <w:rFonts w:hint="eastAsia"/>
          <w:highlight w:val="none"/>
        </w:rPr>
        <w:t>]</w:t>
      </w:r>
    </w:p>
    <w:p w14:paraId="05139040">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ascii="黑体" w:hAnsi="黑体" w:eastAsia="黑体"/>
          <w:highlight w:val="none"/>
        </w:rPr>
      </w:pPr>
      <w:bookmarkStart w:id="117" w:name="_Toc1566355613"/>
      <w:bookmarkEnd w:id="117"/>
      <w:bookmarkStart w:id="118" w:name="_Toc1358742464"/>
      <w:bookmarkEnd w:id="118"/>
      <w:bookmarkStart w:id="119" w:name="_Toc1231334540"/>
      <w:bookmarkEnd w:id="119"/>
    </w:p>
    <w:p w14:paraId="765C729D">
      <w:pPr>
        <w:pStyle w:val="47"/>
        <w:numPr>
          <w:ilvl w:val="2"/>
          <w:numId w:val="0"/>
        </w:numPr>
        <w:ind w:leftChars="0" w:firstLine="420" w:firstLineChars="200"/>
        <w:rPr>
          <w:rFonts w:hint="eastAsia" w:ascii="黑体" w:hAnsi="黑体" w:eastAsia="黑体"/>
          <w:kern w:val="2"/>
          <w:szCs w:val="21"/>
          <w:highlight w:val="cyan"/>
          <w:lang w:eastAsia="zh-CN"/>
        </w:rPr>
      </w:pPr>
      <w:r>
        <w:rPr>
          <w:rFonts w:hint="eastAsia" w:ascii="黑体" w:hAnsi="黑体" w:eastAsia="黑体"/>
          <w:highlight w:val="none"/>
          <w:lang w:val="en-US" w:eastAsia="zh-CN"/>
        </w:rPr>
        <w:t>监督</w:t>
      </w:r>
      <w:r>
        <w:rPr>
          <w:rFonts w:hint="eastAsia" w:ascii="黑体" w:hAnsi="黑体" w:eastAsia="黑体"/>
          <w:highlight w:val="none"/>
        </w:rPr>
        <w:t xml:space="preserve">检查 </w:t>
      </w:r>
      <w:r>
        <w:rPr>
          <w:rFonts w:hint="eastAsia" w:ascii="黑体" w:hAnsi="黑体" w:eastAsia="黑体"/>
          <w:highlight w:val="none"/>
          <w:lang w:val="en-US" w:eastAsia="zh-Hans"/>
        </w:rPr>
        <w:t>s</w:t>
      </w:r>
      <w:r>
        <w:rPr>
          <w:rFonts w:hint="eastAsia" w:ascii="黑体" w:hAnsi="黑体" w:eastAsia="黑体"/>
          <w:highlight w:val="none"/>
        </w:rPr>
        <w:t>upervisory</w:t>
      </w:r>
      <w:r>
        <w:rPr>
          <w:rFonts w:ascii="黑体" w:hAnsi="黑体" w:eastAsia="黑体"/>
          <w:highlight w:val="none"/>
        </w:rPr>
        <w:t xml:space="preserve"> inspection</w:t>
      </w:r>
    </w:p>
    <w:p w14:paraId="5B06F803">
      <w:pPr>
        <w:pStyle w:val="37"/>
        <w:ind w:firstLine="420"/>
        <w:rPr>
          <w:rFonts w:hint="eastAsia"/>
          <w:highlight w:val="none"/>
          <w:lang w:val="zh-TW" w:eastAsia="zh-TW"/>
        </w:rPr>
      </w:pPr>
      <w:r>
        <w:rPr>
          <w:rFonts w:hint="eastAsia"/>
          <w:highlight w:val="none"/>
          <w:lang w:val="en-US" w:eastAsia="zh-CN"/>
        </w:rPr>
        <w:t>由监督管理部门</w:t>
      </w:r>
      <w:r>
        <w:rPr>
          <w:rFonts w:hint="eastAsia"/>
          <w:highlight w:val="none"/>
          <w:lang w:val="zh-TW" w:eastAsia="zh-TW"/>
        </w:rPr>
        <w:t>对企业法律、法规、规章</w:t>
      </w:r>
      <w:r>
        <w:rPr>
          <w:rFonts w:hint="eastAsia"/>
          <w:highlight w:val="none"/>
          <w:lang w:val="zh-TW" w:eastAsia="zh-CN"/>
        </w:rPr>
        <w:t>、</w:t>
      </w:r>
      <w:r>
        <w:rPr>
          <w:rFonts w:hint="eastAsia"/>
          <w:highlight w:val="none"/>
          <w:lang w:val="zh-TW" w:eastAsia="zh-TW"/>
        </w:rPr>
        <w:t>质量管理规范以及有关标准</w:t>
      </w:r>
      <w:r>
        <w:rPr>
          <w:rFonts w:hint="eastAsia"/>
          <w:highlight w:val="none"/>
          <w:lang w:val="en-US" w:eastAsia="zh-CN"/>
        </w:rPr>
        <w:t>执行情况，</w:t>
      </w:r>
      <w:r>
        <w:rPr>
          <w:rFonts w:hint="eastAsia"/>
          <w:highlight w:val="none"/>
          <w:lang w:val="zh-TW" w:eastAsia="zh-TW"/>
        </w:rPr>
        <w:t>开展的</w:t>
      </w:r>
      <w:r>
        <w:rPr>
          <w:rFonts w:hint="eastAsia"/>
          <w:highlight w:val="none"/>
          <w:lang w:val="en-US" w:eastAsia="zh-CN"/>
        </w:rPr>
        <w:t>符合性</w:t>
      </w:r>
      <w:r>
        <w:rPr>
          <w:rFonts w:hint="eastAsia"/>
          <w:highlight w:val="none"/>
          <w:lang w:val="zh-TW" w:eastAsia="zh-TW"/>
        </w:rPr>
        <w:t>检查。</w:t>
      </w:r>
    </w:p>
    <w:p w14:paraId="210FC0FA">
      <w:pPr>
        <w:pStyle w:val="49"/>
        <w:rPr>
          <w:rFonts w:hint="eastAsia"/>
          <w:highlight w:val="none"/>
          <w:lang w:val="en-US" w:eastAsia="zh-CN"/>
        </w:rPr>
      </w:pPr>
      <w:r>
        <w:rPr>
          <w:rFonts w:hint="eastAsia"/>
          <w:highlight w:val="none"/>
          <w:lang w:val="en-US" w:eastAsia="zh-CN"/>
        </w:rPr>
        <w:t>监督检查包括许可检查、常规检查、有因检查和其他检查；其他检查指许可检查、常规检查、有因检查以外的检查。</w:t>
      </w:r>
    </w:p>
    <w:p w14:paraId="3F5A6370">
      <w:pPr>
        <w:pStyle w:val="35"/>
        <w:keepNext w:val="0"/>
        <w:keepLines w:val="0"/>
        <w:pageBreakBefore w:val="0"/>
        <w:widowControl/>
        <w:kinsoku/>
        <w:wordWrap/>
        <w:overflowPunct/>
        <w:topLinePunct w:val="0"/>
        <w:autoSpaceDE/>
        <w:autoSpaceDN/>
        <w:bidi w:val="0"/>
        <w:adjustRightInd/>
        <w:snapToGrid/>
        <w:spacing w:afterLines="0"/>
        <w:textAlignment w:val="auto"/>
        <w:rPr>
          <w:rFonts w:hint="default"/>
          <w:lang w:val="en-US"/>
        </w:rPr>
      </w:pPr>
    </w:p>
    <w:p w14:paraId="665AAF94">
      <w:pPr>
        <w:pStyle w:val="47"/>
        <w:numPr>
          <w:ilvl w:val="-1"/>
          <w:numId w:val="0"/>
        </w:numPr>
        <w:ind w:firstLine="420" w:firstLineChars="200"/>
        <w:rPr>
          <w:rFonts w:hint="default"/>
          <w:lang w:val="en-US"/>
        </w:rPr>
      </w:pPr>
      <w:r>
        <w:rPr>
          <w:rFonts w:hint="eastAsia" w:ascii="黑体" w:hAnsi="黑体" w:eastAsia="黑体"/>
          <w:highlight w:val="none"/>
          <w:lang w:val="en-US" w:eastAsia="zh-CN"/>
        </w:rPr>
        <w:t xml:space="preserve">许可检查 </w:t>
      </w:r>
      <w:r>
        <w:rPr>
          <w:rFonts w:ascii="黑体" w:hAnsi="黑体" w:eastAsia="黑体" w:cs="Times New Roman"/>
          <w:i w:val="0"/>
          <w:iCs w:val="0"/>
          <w:caps w:val="0"/>
          <w:spacing w:val="0"/>
          <w:kern w:val="2"/>
          <w:sz w:val="21"/>
          <w:szCs w:val="21"/>
          <w:highlight w:val="none"/>
          <w:u w:val="none"/>
          <w:shd w:val="clear"/>
          <w:lang w:val="en-US" w:eastAsia="zh-CN" w:bidi="ar"/>
        </w:rPr>
        <w:t>license</w:t>
      </w:r>
      <w:r>
        <w:rPr>
          <w:rFonts w:hint="default" w:ascii="黑体" w:hAnsi="黑体" w:eastAsia="黑体" w:cs="Times New Roman"/>
          <w:i w:val="0"/>
          <w:iCs w:val="0"/>
          <w:caps w:val="0"/>
          <w:spacing w:val="0"/>
          <w:kern w:val="2"/>
          <w:sz w:val="21"/>
          <w:szCs w:val="21"/>
          <w:highlight w:val="none"/>
          <w:u w:val="none"/>
          <w:shd w:val="clear"/>
          <w:lang w:val="en-US" w:eastAsia="zh-CN" w:bidi="ar"/>
        </w:rPr>
        <w:t xml:space="preserve"> </w:t>
      </w:r>
      <w:r>
        <w:rPr>
          <w:rFonts w:ascii="黑体" w:hAnsi="黑体" w:eastAsia="黑体"/>
          <w:highlight w:val="none"/>
        </w:rPr>
        <w:t>inspection</w:t>
      </w:r>
    </w:p>
    <w:p w14:paraId="3AE5489D">
      <w:pPr>
        <w:pStyle w:val="37"/>
        <w:ind w:left="0" w:firstLine="420" w:firstLineChars="0"/>
        <w:rPr>
          <w:rFonts w:hint="eastAsia" w:eastAsia="宋体"/>
          <w:sz w:val="21"/>
          <w:szCs w:val="20"/>
          <w:highlight w:val="none"/>
          <w:lang w:val="zh-TW" w:eastAsia="zh-TW" w:bidi="ar"/>
        </w:rPr>
      </w:pPr>
      <w:r>
        <w:rPr>
          <w:rFonts w:hint="eastAsia" w:eastAsia="宋体"/>
          <w:sz w:val="21"/>
          <w:szCs w:val="20"/>
          <w:highlight w:val="none"/>
          <w:lang w:val="zh-TW" w:eastAsia="zh-TW" w:bidi="ar"/>
        </w:rPr>
        <w:t>监督管理部门在开展产品生产经营许可申请审查过程中，对申请人是否具备从事</w:t>
      </w:r>
      <w:r>
        <w:rPr>
          <w:rFonts w:hint="eastAsia"/>
          <w:sz w:val="21"/>
          <w:szCs w:val="20"/>
          <w:highlight w:val="none"/>
          <w:lang w:val="en-US" w:eastAsia="zh-CN" w:bidi="ar"/>
        </w:rPr>
        <w:t>产</w:t>
      </w:r>
      <w:r>
        <w:rPr>
          <w:rFonts w:hint="eastAsia" w:eastAsia="宋体"/>
          <w:sz w:val="21"/>
          <w:szCs w:val="20"/>
          <w:highlight w:val="none"/>
          <w:lang w:val="zh-TW" w:eastAsia="zh-TW" w:bidi="ar"/>
        </w:rPr>
        <w:t>品生产经营活动条件开展的检查。</w:t>
      </w:r>
    </w:p>
    <w:p w14:paraId="37868AFD">
      <w:pPr>
        <w:pStyle w:val="35"/>
        <w:keepNext w:val="0"/>
        <w:keepLines w:val="0"/>
        <w:pageBreakBefore w:val="0"/>
        <w:widowControl/>
        <w:kinsoku/>
        <w:wordWrap/>
        <w:overflowPunct/>
        <w:topLinePunct w:val="0"/>
        <w:autoSpaceDE/>
        <w:autoSpaceDN/>
        <w:bidi w:val="0"/>
        <w:adjustRightInd/>
        <w:snapToGrid/>
        <w:spacing w:afterLines="0"/>
        <w:ind w:left="0" w:firstLineChars="0"/>
        <w:textAlignment w:val="auto"/>
        <w:rPr>
          <w:rFonts w:hint="eastAsia" w:ascii="黑体" w:hAnsi="黑体" w:eastAsia="黑体"/>
          <w:sz w:val="21"/>
          <w:szCs w:val="20"/>
          <w:highlight w:val="none"/>
          <w:lang w:val="en-US" w:eastAsia="zh-CN" w:bidi="ar"/>
        </w:rPr>
      </w:pPr>
    </w:p>
    <w:p w14:paraId="26136610">
      <w:pPr>
        <w:keepNext w:val="0"/>
        <w:keepLines w:val="0"/>
        <w:pageBreakBefore w:val="0"/>
        <w:widowControl w:val="0"/>
        <w:kinsoku/>
        <w:wordWrap/>
        <w:overflowPunct/>
        <w:topLinePunct w:val="0"/>
        <w:autoSpaceDE/>
        <w:autoSpaceDN/>
        <w:bidi w:val="0"/>
        <w:adjustRightInd w:val="0"/>
        <w:snapToGrid/>
        <w:spacing w:line="240" w:lineRule="auto"/>
        <w:ind w:left="0" w:firstLine="420" w:firstLineChars="200"/>
        <w:jc w:val="left"/>
        <w:textAlignment w:val="auto"/>
        <w:rPr>
          <w:rFonts w:hint="default" w:ascii="黑体" w:hAnsi="黑体" w:eastAsia="黑体"/>
          <w:sz w:val="21"/>
          <w:szCs w:val="20"/>
          <w:highlight w:val="cyan"/>
          <w:lang w:val="en-US" w:eastAsia="zh-CN" w:bidi="ar"/>
        </w:rPr>
      </w:pPr>
      <w:r>
        <w:rPr>
          <w:rFonts w:hint="eastAsia" w:ascii="黑体" w:hAnsi="黑体" w:eastAsia="黑体"/>
          <w:sz w:val="21"/>
          <w:szCs w:val="20"/>
          <w:highlight w:val="none"/>
          <w:lang w:val="en-US" w:eastAsia="zh-CN" w:bidi="ar"/>
        </w:rPr>
        <w:t xml:space="preserve">常规检查 </w:t>
      </w:r>
      <w:r>
        <w:rPr>
          <w:rFonts w:ascii="黑体" w:hAnsi="黑体" w:eastAsia="黑体" w:cs="Times New Roman"/>
          <w:i w:val="0"/>
          <w:iCs w:val="0"/>
          <w:caps w:val="0"/>
          <w:color w:val="auto"/>
          <w:spacing w:val="0"/>
          <w:kern w:val="2"/>
          <w:sz w:val="21"/>
          <w:szCs w:val="21"/>
          <w:highlight w:val="none"/>
          <w:u w:val="none"/>
          <w:shd w:val="clear" w:fill="FFFFFF"/>
          <w:lang w:val="en-US" w:eastAsia="zh-CN" w:bidi="ar"/>
        </w:rPr>
        <w:t>convention</w:t>
      </w:r>
      <w:r>
        <w:rPr>
          <w:rFonts w:hint="eastAsia" w:ascii="黑体" w:hAnsi="黑体" w:eastAsia="黑体" w:cs="Times New Roman"/>
          <w:i w:val="0"/>
          <w:iCs w:val="0"/>
          <w:caps w:val="0"/>
          <w:color w:val="auto"/>
          <w:spacing w:val="0"/>
          <w:kern w:val="2"/>
          <w:sz w:val="21"/>
          <w:szCs w:val="21"/>
          <w:highlight w:val="none"/>
          <w:u w:val="none"/>
          <w:shd w:val="clear" w:fill="FFFFFF"/>
          <w:lang w:val="en-US" w:eastAsia="zh-CN" w:bidi="ar"/>
        </w:rPr>
        <w:t>al</w:t>
      </w:r>
      <w:r>
        <w:rPr>
          <w:rFonts w:hint="default" w:ascii="黑体" w:hAnsi="黑体" w:eastAsia="黑体" w:cs="Times New Roman"/>
          <w:i w:val="0"/>
          <w:iCs w:val="0"/>
          <w:caps w:val="0"/>
          <w:color w:val="auto"/>
          <w:spacing w:val="0"/>
          <w:kern w:val="2"/>
          <w:sz w:val="21"/>
          <w:szCs w:val="21"/>
          <w:highlight w:val="none"/>
          <w:u w:val="none"/>
          <w:shd w:val="clear" w:fill="FFFFFF"/>
          <w:lang w:val="en-US" w:eastAsia="zh-CN" w:bidi="ar"/>
        </w:rPr>
        <w:t xml:space="preserve"> </w:t>
      </w:r>
      <w:r>
        <w:rPr>
          <w:rFonts w:ascii="黑体" w:hAnsi="黑体" w:eastAsia="黑体"/>
          <w:highlight w:val="none"/>
        </w:rPr>
        <w:t>inspection</w:t>
      </w:r>
    </w:p>
    <w:p w14:paraId="128697C7">
      <w:pPr>
        <w:spacing w:line="240" w:lineRule="auto"/>
        <w:ind w:firstLine="420" w:firstLineChars="200"/>
        <w:rPr>
          <w:rFonts w:hint="default" w:ascii="宋体" w:hAnsi="Times New Roman" w:eastAsia="宋体"/>
          <w:kern w:val="0"/>
          <w:sz w:val="21"/>
          <w:szCs w:val="20"/>
          <w:highlight w:val="none"/>
          <w:lang w:val="en-US" w:eastAsia="zh-CN" w:bidi="ar"/>
        </w:rPr>
      </w:pPr>
      <w:r>
        <w:rPr>
          <w:rFonts w:hint="eastAsia" w:ascii="宋体" w:hAnsi="Times New Roman" w:eastAsia="宋体"/>
          <w:kern w:val="0"/>
          <w:sz w:val="21"/>
          <w:szCs w:val="20"/>
          <w:highlight w:val="none"/>
          <w:lang w:val="zh-TW" w:eastAsia="zh-TW" w:bidi="ar"/>
        </w:rPr>
        <w:t>根据监督管理部门制定的年度检查计划，对被检查单位遵守有关法律、法规、规章，执行相关质量管理规范以及有关标准情况开展的监督检查。</w:t>
      </w:r>
    </w:p>
    <w:p w14:paraId="08704B7F">
      <w:pPr>
        <w:pStyle w:val="35"/>
        <w:keepNext w:val="0"/>
        <w:keepLines w:val="0"/>
        <w:pageBreakBefore w:val="0"/>
        <w:widowControl/>
        <w:kinsoku/>
        <w:wordWrap/>
        <w:overflowPunct/>
        <w:topLinePunct w:val="0"/>
        <w:autoSpaceDE/>
        <w:autoSpaceDN/>
        <w:bidi w:val="0"/>
        <w:snapToGrid/>
        <w:spacing w:afterLines="0"/>
        <w:textAlignment w:val="auto"/>
        <w:rPr>
          <w:highlight w:val="none"/>
        </w:rPr>
      </w:pPr>
    </w:p>
    <w:p w14:paraId="51D01968">
      <w:pPr>
        <w:pStyle w:val="47"/>
        <w:keepNext w:val="0"/>
        <w:keepLines w:val="0"/>
        <w:pageBreakBefore w:val="0"/>
        <w:widowControl/>
        <w:numPr>
          <w:ilvl w:val="2"/>
          <w:numId w:val="0"/>
        </w:numPr>
        <w:kinsoku/>
        <w:wordWrap/>
        <w:overflowPunct/>
        <w:topLinePunct w:val="0"/>
        <w:autoSpaceDE/>
        <w:autoSpaceDN/>
        <w:bidi w:val="0"/>
        <w:adjustRightInd/>
        <w:snapToGrid/>
        <w:spacing w:beforeLines="0" w:afterLines="0" w:line="240" w:lineRule="auto"/>
        <w:ind w:left="0" w:leftChars="0" w:right="0" w:rightChars="0" w:firstLine="420" w:firstLineChars="200"/>
        <w:jc w:val="both"/>
        <w:textAlignment w:val="auto"/>
        <w:outlineLvl w:val="9"/>
        <w:rPr>
          <w:rFonts w:ascii="黑体" w:hAnsi="黑体" w:eastAsia="黑体"/>
          <w:highlight w:val="none"/>
        </w:rPr>
      </w:pPr>
      <w:r>
        <w:rPr>
          <w:rFonts w:hint="eastAsia" w:ascii="黑体" w:hAnsi="黑体" w:eastAsia="黑体"/>
          <w:highlight w:val="none"/>
        </w:rPr>
        <w:t xml:space="preserve">有因检查 </w:t>
      </w:r>
      <w:r>
        <w:rPr>
          <w:rFonts w:ascii="黑体" w:hAnsi="黑体" w:eastAsia="黑体"/>
          <w:highlight w:val="none"/>
        </w:rPr>
        <w:t>causative inspection</w:t>
      </w:r>
    </w:p>
    <w:p w14:paraId="3D9F36DA">
      <w:pPr>
        <w:pStyle w:val="47"/>
        <w:keepNext w:val="0"/>
        <w:keepLines w:val="0"/>
        <w:pageBreakBefore w:val="0"/>
        <w:widowControl/>
        <w:numPr>
          <w:ilvl w:val="2"/>
          <w:numId w:val="0"/>
        </w:numPr>
        <w:kinsoku/>
        <w:wordWrap/>
        <w:overflowPunct/>
        <w:topLinePunct w:val="0"/>
        <w:autoSpaceDE/>
        <w:autoSpaceDN/>
        <w:bidi w:val="0"/>
        <w:adjustRightInd/>
        <w:snapToGrid/>
        <w:spacing w:beforeLines="0" w:afterLines="0" w:line="240" w:lineRule="auto"/>
        <w:ind w:left="0" w:leftChars="0" w:right="0" w:rightChars="0" w:firstLine="420" w:firstLineChars="200"/>
        <w:jc w:val="both"/>
        <w:textAlignment w:val="auto"/>
        <w:outlineLvl w:val="9"/>
        <w:rPr>
          <w:rFonts w:hint="eastAsia" w:ascii="黑体" w:hAnsi="黑体" w:eastAsia="黑体"/>
          <w:kern w:val="2"/>
          <w:szCs w:val="21"/>
          <w:highlight w:val="cyan"/>
          <w:lang w:val="en-US" w:eastAsia="zh-CN"/>
        </w:rPr>
      </w:pPr>
      <w:r>
        <w:rPr>
          <w:rFonts w:hint="eastAsia" w:ascii="宋体" w:hAnsi="Times New Roman" w:eastAsia="宋体"/>
          <w:kern w:val="0"/>
          <w:sz w:val="21"/>
          <w:szCs w:val="20"/>
          <w:highlight w:val="none"/>
          <w:lang w:val="en-US" w:eastAsia="zh-CN"/>
        </w:rPr>
        <w:t>对被检查</w:t>
      </w:r>
      <w:r>
        <w:rPr>
          <w:rFonts w:hint="eastAsia" w:ascii="宋体" w:hAnsi="Times New Roman" w:eastAsia="宋体"/>
          <w:kern w:val="0"/>
          <w:sz w:val="21"/>
          <w:szCs w:val="20"/>
          <w:highlight w:val="none"/>
        </w:rPr>
        <w:t>单位</w:t>
      </w:r>
      <w:r>
        <w:rPr>
          <w:rFonts w:hint="eastAsia" w:ascii="宋体" w:hAnsi="Times New Roman" w:eastAsia="宋体"/>
          <w:kern w:val="0"/>
          <w:sz w:val="21"/>
          <w:szCs w:val="20"/>
          <w:highlight w:val="none"/>
          <w:lang w:val="en-US" w:eastAsia="zh-CN"/>
        </w:rPr>
        <w:t>可能存在的具体问题</w:t>
      </w:r>
      <w:r>
        <w:rPr>
          <w:rFonts w:hint="eastAsia" w:ascii="宋体" w:hAnsi="Times New Roman" w:eastAsia="宋体"/>
          <w:kern w:val="0"/>
          <w:sz w:val="21"/>
          <w:szCs w:val="20"/>
          <w:highlight w:val="none"/>
          <w:lang w:val="en-US"/>
        </w:rPr>
        <w:t>或者</w:t>
      </w:r>
      <w:r>
        <w:rPr>
          <w:rFonts w:hint="eastAsia" w:ascii="宋体" w:hAnsi="Times New Roman" w:eastAsia="宋体"/>
          <w:kern w:val="0"/>
          <w:sz w:val="21"/>
          <w:szCs w:val="20"/>
          <w:highlight w:val="none"/>
        </w:rPr>
        <w:t>投诉举报等</w:t>
      </w:r>
      <w:r>
        <w:rPr>
          <w:rFonts w:hint="eastAsia" w:ascii="宋体" w:hAnsi="Times New Roman" w:eastAsia="宋体"/>
          <w:kern w:val="0"/>
          <w:sz w:val="21"/>
          <w:szCs w:val="20"/>
          <w:highlight w:val="none"/>
          <w:lang w:val="en-US" w:eastAsia="zh-CN"/>
        </w:rPr>
        <w:t>开展的针对性检查。</w:t>
      </w:r>
    </w:p>
    <w:p w14:paraId="084FDF47">
      <w:pPr>
        <w:pStyle w:val="54"/>
        <w:numPr>
          <w:ilvl w:val="0"/>
          <w:numId w:val="32"/>
        </w:numPr>
        <w:rPr>
          <w:rFonts w:hint="eastAsia"/>
          <w:highlight w:val="none"/>
          <w:lang w:val="en-US" w:eastAsia="zh-CN"/>
        </w:rPr>
      </w:pPr>
      <w:r>
        <w:rPr>
          <w:rFonts w:hint="eastAsia"/>
          <w:highlight w:val="none"/>
          <w:lang w:val="en-US" w:eastAsia="zh-CN"/>
        </w:rPr>
        <w:t>任务来源包括日常监管、抽检、监测、舆情、风险会商及投诉举报等发现的问题，以及风险信息、上级交办的有因检查任务等。</w:t>
      </w:r>
    </w:p>
    <w:p w14:paraId="06C1F096">
      <w:pPr>
        <w:pStyle w:val="54"/>
        <w:numPr>
          <w:ilvl w:val="0"/>
          <w:numId w:val="32"/>
        </w:numPr>
        <w:rPr>
          <w:rFonts w:hint="eastAsia"/>
          <w:highlight w:val="none"/>
          <w:lang w:val="en-US" w:eastAsia="zh-CN"/>
        </w:rPr>
      </w:pPr>
      <w:r>
        <w:rPr>
          <w:rFonts w:hint="eastAsia" w:ascii="宋体" w:hAnsi="Times New Roman" w:eastAsia="宋体" w:cs="Times New Roman"/>
          <w:sz w:val="18"/>
          <w:szCs w:val="18"/>
          <w:highlight w:val="none"/>
          <w:lang w:val="en-US" w:eastAsia="zh-CN" w:bidi="ar-SA"/>
        </w:rPr>
        <w:t>与日常检查不同，有因检查不得事先告知被检查企业检查行程</w:t>
      </w:r>
      <w:r>
        <w:rPr>
          <w:rFonts w:hint="eastAsia" w:hAnsi="Times New Roman" w:cs="Times New Roman"/>
          <w:sz w:val="18"/>
          <w:szCs w:val="18"/>
          <w:highlight w:val="none"/>
          <w:lang w:val="en-US" w:eastAsia="zh-CN" w:bidi="ar-SA"/>
        </w:rPr>
        <w:t>和</w:t>
      </w:r>
      <w:r>
        <w:rPr>
          <w:rFonts w:hint="eastAsia" w:ascii="宋体" w:hAnsi="Times New Roman" w:eastAsia="宋体" w:cs="Times New Roman"/>
          <w:sz w:val="18"/>
          <w:szCs w:val="18"/>
          <w:highlight w:val="none"/>
          <w:lang w:val="en-US" w:eastAsia="zh-CN" w:bidi="ar-SA"/>
        </w:rPr>
        <w:t>检查内容，</w:t>
      </w:r>
      <w:r>
        <w:rPr>
          <w:rFonts w:hint="eastAsia" w:hAnsi="Times New Roman" w:cs="Times New Roman"/>
          <w:sz w:val="18"/>
          <w:szCs w:val="18"/>
          <w:highlight w:val="none"/>
          <w:lang w:val="en-US" w:eastAsia="zh-CN" w:bidi="ar-SA"/>
        </w:rPr>
        <w:t>应</w:t>
      </w:r>
      <w:r>
        <w:rPr>
          <w:rFonts w:hint="eastAsia" w:ascii="宋体" w:hAnsi="Times New Roman" w:eastAsia="宋体" w:cs="Times New Roman"/>
          <w:sz w:val="18"/>
          <w:szCs w:val="18"/>
          <w:highlight w:val="none"/>
          <w:lang w:val="en-US" w:eastAsia="zh-CN" w:bidi="ar-SA"/>
        </w:rPr>
        <w:t>直接进入检查现场，直接针对可能存在的问题开展检查，</w:t>
      </w:r>
      <w:r>
        <w:rPr>
          <w:rFonts w:hint="eastAsia" w:hAnsi="Times New Roman" w:cs="Times New Roman"/>
          <w:sz w:val="18"/>
          <w:szCs w:val="18"/>
          <w:highlight w:val="none"/>
          <w:lang w:val="en-US" w:eastAsia="zh-CN" w:bidi="ar-SA"/>
        </w:rPr>
        <w:t>并应对</w:t>
      </w:r>
      <w:r>
        <w:rPr>
          <w:rFonts w:hint="eastAsia" w:ascii="宋体" w:hAnsi="Times New Roman" w:eastAsia="宋体" w:cs="Times New Roman"/>
          <w:sz w:val="18"/>
          <w:szCs w:val="18"/>
          <w:highlight w:val="none"/>
          <w:lang w:val="en-US" w:eastAsia="zh-CN" w:bidi="ar-SA"/>
        </w:rPr>
        <w:t>检查</w:t>
      </w:r>
      <w:r>
        <w:rPr>
          <w:rFonts w:hint="eastAsia" w:hAnsi="Times New Roman" w:cs="Times New Roman"/>
          <w:sz w:val="18"/>
          <w:szCs w:val="18"/>
          <w:highlight w:val="none"/>
          <w:lang w:val="en-US" w:eastAsia="zh-CN" w:bidi="ar-SA"/>
        </w:rPr>
        <w:t>进展及检查</w:t>
      </w:r>
      <w:r>
        <w:rPr>
          <w:rFonts w:hint="eastAsia" w:ascii="宋体" w:hAnsi="Times New Roman" w:eastAsia="宋体" w:cs="Times New Roman"/>
          <w:sz w:val="18"/>
          <w:szCs w:val="18"/>
          <w:highlight w:val="none"/>
          <w:lang w:val="en-US" w:eastAsia="zh-CN" w:bidi="ar-SA"/>
        </w:rPr>
        <w:t>发现的违法线索</w:t>
      </w:r>
      <w:r>
        <w:rPr>
          <w:rFonts w:hint="eastAsia" w:hAnsi="Times New Roman" w:cs="Times New Roman"/>
          <w:sz w:val="18"/>
          <w:szCs w:val="18"/>
          <w:highlight w:val="none"/>
          <w:lang w:val="en-US" w:eastAsia="zh-CN" w:bidi="ar-SA"/>
        </w:rPr>
        <w:t>等</w:t>
      </w:r>
      <w:r>
        <w:rPr>
          <w:rFonts w:hint="eastAsia" w:ascii="宋体" w:hAnsi="Times New Roman" w:eastAsia="宋体" w:cs="Times New Roman"/>
          <w:sz w:val="18"/>
          <w:szCs w:val="18"/>
          <w:highlight w:val="none"/>
          <w:lang w:val="en-US" w:eastAsia="zh-CN" w:bidi="ar-SA"/>
        </w:rPr>
        <w:t>信息</w:t>
      </w:r>
      <w:r>
        <w:rPr>
          <w:rFonts w:hint="eastAsia" w:hAnsi="Times New Roman" w:cs="Times New Roman"/>
          <w:sz w:val="18"/>
          <w:szCs w:val="18"/>
          <w:highlight w:val="none"/>
          <w:lang w:val="en-US" w:eastAsia="zh-CN" w:bidi="ar-SA"/>
        </w:rPr>
        <w:t>保密</w:t>
      </w:r>
      <w:r>
        <w:rPr>
          <w:rFonts w:hint="eastAsia" w:ascii="宋体" w:hAnsi="Times New Roman" w:eastAsia="宋体" w:cs="Times New Roman"/>
          <w:sz w:val="18"/>
          <w:szCs w:val="18"/>
          <w:highlight w:val="none"/>
          <w:lang w:val="en-US" w:eastAsia="zh-CN" w:bidi="ar-SA"/>
        </w:rPr>
        <w:t>。</w:t>
      </w:r>
    </w:p>
    <w:p w14:paraId="1C780CD0">
      <w:pPr>
        <w:pStyle w:val="36"/>
        <w:keepNext w:val="0"/>
        <w:keepLines w:val="0"/>
        <w:widowControl w:val="0"/>
        <w:suppressLineNumbers w:val="0"/>
        <w:shd w:val="clear" w:fill="FFFFFF"/>
        <w:spacing w:afterLines="0" w:line="150" w:lineRule="atLeast"/>
        <w:ind w:left="0" w:right="23" w:hangingChars="200"/>
        <w:jc w:val="left"/>
        <w:rPr>
          <w:rFonts w:ascii="黑体" w:hAnsi="黑体" w:eastAsia="黑体"/>
          <w:highlight w:val="none"/>
        </w:rPr>
      </w:pPr>
      <w:bookmarkStart w:id="120" w:name="_Toc1837994873"/>
      <w:bookmarkEnd w:id="120"/>
      <w:bookmarkStart w:id="121" w:name="_Toc1674292693"/>
      <w:bookmarkEnd w:id="121"/>
      <w:bookmarkStart w:id="122" w:name="_Toc796191770"/>
      <w:bookmarkEnd w:id="122"/>
    </w:p>
    <w:p w14:paraId="65855FF9">
      <w:pPr>
        <w:pStyle w:val="36"/>
        <w:keepNext w:val="0"/>
        <w:keepLines w:val="0"/>
        <w:widowControl/>
        <w:numPr>
          <w:ilvl w:val="-1"/>
          <w:numId w:val="0"/>
        </w:numPr>
        <w:suppressLineNumbers w:val="0"/>
        <w:shd w:val="clear" w:fill="FFFFFF"/>
        <w:spacing w:beforeLines="0" w:afterLines="0" w:line="240" w:lineRule="auto"/>
        <w:ind w:left="0" w:right="23" w:firstLine="420" w:firstLineChars="200"/>
        <w:jc w:val="left"/>
        <w:rPr>
          <w:rFonts w:ascii="黑体" w:hAnsi="黑体" w:eastAsia="黑体"/>
          <w:highlight w:val="none"/>
        </w:rPr>
      </w:pPr>
      <w:bookmarkStart w:id="123" w:name="_Toc1359064610"/>
      <w:bookmarkStart w:id="124" w:name="_Toc624473933"/>
      <w:bookmarkStart w:id="125" w:name="_Toc1775052063"/>
      <w:r>
        <w:rPr>
          <w:rFonts w:hint="eastAsia" w:ascii="黑体" w:hAnsi="黑体" w:eastAsia="黑体"/>
          <w:highlight w:val="none"/>
        </w:rPr>
        <w:t xml:space="preserve">日常检查 </w:t>
      </w:r>
      <w:r>
        <w:rPr>
          <w:rFonts w:hint="eastAsia" w:ascii="黑体" w:hAnsi="黑体" w:eastAsia="黑体"/>
          <w:highlight w:val="none"/>
          <w:lang w:val="en-US" w:eastAsia="zh-CN"/>
        </w:rPr>
        <w:t>routin</w:t>
      </w:r>
      <w:r>
        <w:rPr>
          <w:rFonts w:hint="eastAsia" w:hAnsi="黑体"/>
          <w:highlight w:val="none"/>
          <w:lang w:val="en-US" w:eastAsia="zh-CN"/>
        </w:rPr>
        <w:t>e</w:t>
      </w:r>
      <w:r>
        <w:rPr>
          <w:rFonts w:hint="eastAsia" w:ascii="黑体" w:hAnsi="黑体" w:eastAsia="黑体"/>
          <w:highlight w:val="none"/>
          <w:lang w:val="en-US" w:eastAsia="zh-CN"/>
        </w:rPr>
        <w:t xml:space="preserve"> </w:t>
      </w:r>
      <w:r>
        <w:rPr>
          <w:rFonts w:ascii="黑体" w:hAnsi="黑体" w:eastAsia="黑体"/>
          <w:highlight w:val="none"/>
        </w:rPr>
        <w:t>inspection</w:t>
      </w:r>
      <w:bookmarkEnd w:id="123"/>
      <w:bookmarkEnd w:id="124"/>
      <w:bookmarkEnd w:id="125"/>
    </w:p>
    <w:p w14:paraId="0AF016A6">
      <w:pPr>
        <w:pStyle w:val="37"/>
        <w:ind w:firstLine="420"/>
        <w:rPr>
          <w:rFonts w:hint="default" w:eastAsia="宋体"/>
          <w:highlight w:val="cyan"/>
          <w:lang w:val="en-US" w:eastAsia="zh-CN"/>
        </w:rPr>
      </w:pPr>
      <w:r>
        <w:rPr>
          <w:rFonts w:hint="eastAsia"/>
          <w:highlight w:val="none"/>
          <w:lang w:val="en-US" w:eastAsia="zh-CN"/>
        </w:rPr>
        <w:t>针对上市后产品特定关键环节开展的常规检查</w:t>
      </w:r>
      <w:r>
        <w:rPr>
          <w:rFonts w:hint="eastAsia"/>
          <w:highlight w:val="none"/>
        </w:rPr>
        <w:t>。</w:t>
      </w:r>
    </w:p>
    <w:p w14:paraId="43DF068B">
      <w:pPr>
        <w:pStyle w:val="36"/>
        <w:widowControl w:val="0"/>
        <w:autoSpaceDE/>
        <w:autoSpaceDN/>
        <w:spacing w:afterLines="0"/>
        <w:ind w:hangingChars="200"/>
        <w:rPr>
          <w:rFonts w:ascii="黑体" w:hAnsi="黑体" w:eastAsia="黑体"/>
          <w:highlight w:val="none"/>
        </w:rPr>
      </w:pPr>
    </w:p>
    <w:p w14:paraId="56683976">
      <w:pPr>
        <w:pStyle w:val="37"/>
        <w:ind w:left="0" w:leftChars="0" w:firstLine="420" w:firstLineChars="200"/>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符合性检查</w:t>
      </w:r>
      <w:r>
        <w:rPr>
          <w:rFonts w:hint="default" w:ascii="黑体" w:hAnsi="黑体" w:eastAsia="黑体" w:cs="Times New Roman"/>
          <w:sz w:val="21"/>
          <w:highlight w:val="none"/>
          <w:lang w:eastAsia="zh-CN" w:bidi="ar-SA"/>
        </w:rPr>
        <w:t xml:space="preserve"> conformity inspection</w:t>
      </w:r>
    </w:p>
    <w:p w14:paraId="5635345A">
      <w:pPr>
        <w:pStyle w:val="37"/>
        <w:rPr>
          <w:rFonts w:hint="eastAsia"/>
          <w:highlight w:val="none"/>
          <w:lang w:val="en-US" w:eastAsia="zh-CN"/>
        </w:rPr>
      </w:pPr>
      <w:r>
        <w:rPr>
          <w:rFonts w:hint="eastAsia"/>
          <w:highlight w:val="none"/>
          <w:lang w:val="en-US" w:eastAsia="zh-CN"/>
        </w:rPr>
        <w:t>监督管理部门为确认被检查企业质量管理体系运行情况与质量管理规范符合程度实施的检查。</w:t>
      </w:r>
    </w:p>
    <w:bookmarkEnd w:id="39"/>
    <w:p w14:paraId="128434AC">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ascii="黑体" w:hAnsi="黑体" w:eastAsia="黑体"/>
          <w:highlight w:val="none"/>
        </w:rPr>
      </w:pPr>
      <w:bookmarkStart w:id="126" w:name="_Toc780809042"/>
      <w:bookmarkEnd w:id="126"/>
      <w:bookmarkStart w:id="127" w:name="_Toc1162830778"/>
      <w:bookmarkEnd w:id="127"/>
      <w:bookmarkStart w:id="128" w:name="_Toc457198717"/>
      <w:bookmarkEnd w:id="128"/>
    </w:p>
    <w:p w14:paraId="280DC03E">
      <w:pPr>
        <w:pStyle w:val="47"/>
        <w:numPr>
          <w:ilvl w:val="2"/>
          <w:numId w:val="0"/>
        </w:numPr>
        <w:ind w:leftChars="0" w:firstLine="420" w:firstLineChars="200"/>
        <w:rPr>
          <w:rFonts w:hint="default" w:ascii="黑体" w:hAnsi="黑体" w:eastAsia="黑体"/>
          <w:highlight w:val="none"/>
          <w:lang w:val="en-US" w:eastAsia="zh-CN"/>
        </w:rPr>
      </w:pPr>
      <w:r>
        <w:rPr>
          <w:rFonts w:hint="eastAsia" w:ascii="黑体" w:hAnsi="黑体" w:eastAsia="黑体"/>
          <w:highlight w:val="none"/>
          <w:lang w:val="en-US" w:eastAsia="zh-CN"/>
        </w:rPr>
        <w:t xml:space="preserve">飞行检查 unannounced inspection </w:t>
      </w:r>
    </w:p>
    <w:p w14:paraId="5B726AE2">
      <w:pPr>
        <w:pStyle w:val="37"/>
        <w:rPr>
          <w:rFonts w:hint="default" w:ascii="黑体" w:hAnsi="黑体" w:eastAsia="黑体"/>
          <w:highlight w:val="none"/>
          <w:lang w:val="en-US"/>
        </w:rPr>
      </w:pPr>
      <w:r>
        <w:rPr>
          <w:rFonts w:hint="eastAsia"/>
          <w:highlight w:val="none"/>
          <w:lang w:val="en-US" w:eastAsia="zh-CN"/>
        </w:rPr>
        <w:t>预</w:t>
      </w:r>
      <w:r>
        <w:rPr>
          <w:rFonts w:hint="default"/>
          <w:highlight w:val="none"/>
          <w:lang w:val="en-US"/>
        </w:rPr>
        <w:t>先不</w:t>
      </w:r>
      <w:r>
        <w:rPr>
          <w:rFonts w:hint="eastAsia"/>
          <w:highlight w:val="none"/>
          <w:lang w:val="en-US" w:eastAsia="zh-CN"/>
        </w:rPr>
        <w:t>告</w:t>
      </w:r>
      <w:r>
        <w:rPr>
          <w:rFonts w:hint="default"/>
          <w:highlight w:val="none"/>
          <w:lang w:val="en-US"/>
        </w:rPr>
        <w:t>知被检查</w:t>
      </w:r>
      <w:r>
        <w:rPr>
          <w:rFonts w:hint="eastAsia"/>
          <w:highlight w:val="none"/>
          <w:lang w:val="en-US" w:eastAsia="zh-CN"/>
        </w:rPr>
        <w:t>单位</w:t>
      </w:r>
      <w:r>
        <w:rPr>
          <w:rFonts w:hint="default"/>
          <w:highlight w:val="none"/>
          <w:lang w:val="en-US"/>
        </w:rPr>
        <w:t>的现场检查。</w:t>
      </w:r>
    </w:p>
    <w:p w14:paraId="676BCA1B">
      <w:pPr>
        <w:pStyle w:val="36"/>
        <w:keepNext w:val="0"/>
        <w:keepLines w:val="0"/>
        <w:pageBreakBefore w:val="0"/>
        <w:widowControl w:val="0"/>
        <w:kinsoku/>
        <w:wordWrap/>
        <w:overflowPunct/>
        <w:topLinePunct w:val="0"/>
        <w:autoSpaceDE/>
        <w:autoSpaceDN/>
        <w:bidi w:val="0"/>
        <w:adjustRightInd/>
        <w:snapToGrid/>
        <w:spacing w:afterLines="0"/>
        <w:textAlignment w:val="auto"/>
        <w:rPr>
          <w:rFonts w:hint="eastAsia" w:ascii="黑体" w:hAnsi="黑体" w:eastAsia="黑体" w:cs="Times New Roman"/>
          <w:sz w:val="21"/>
          <w:highlight w:val="none"/>
          <w:lang w:val="en-US" w:eastAsia="zh-CN" w:bidi="ar-SA"/>
        </w:rPr>
      </w:pPr>
      <w:bookmarkStart w:id="129" w:name="_Toc1932485724"/>
      <w:bookmarkEnd w:id="129"/>
      <w:bookmarkStart w:id="130" w:name="_Toc1595698146"/>
      <w:bookmarkEnd w:id="130"/>
      <w:bookmarkStart w:id="131" w:name="_Toc442347653"/>
      <w:bookmarkEnd w:id="131"/>
    </w:p>
    <w:p w14:paraId="7402DD4B">
      <w:pPr>
        <w:pStyle w:val="37"/>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专项检查</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s</w:t>
      </w:r>
      <w:r>
        <w:rPr>
          <w:rFonts w:hint="default" w:ascii="黑体" w:hAnsi="黑体" w:eastAsia="黑体" w:cs="Times New Roman"/>
          <w:sz w:val="21"/>
          <w:highlight w:val="none"/>
          <w:lang w:eastAsia="zh-CN" w:bidi="ar-SA"/>
        </w:rPr>
        <w:t>pecial inspection</w:t>
      </w:r>
    </w:p>
    <w:p w14:paraId="5E9CBCAE">
      <w:pPr>
        <w:pStyle w:val="37"/>
        <w:ind w:firstLine="420"/>
        <w:rPr>
          <w:rFonts w:hint="default"/>
          <w:highlight w:val="none"/>
          <w:lang w:val="en-US" w:eastAsia="zh-CN"/>
        </w:rPr>
      </w:pPr>
      <w:r>
        <w:rPr>
          <w:rFonts w:hint="eastAsia"/>
          <w:highlight w:val="none"/>
          <w:lang w:val="en-US" w:eastAsia="zh-CN"/>
        </w:rPr>
        <w:t>监督管理部门在一定时间内针对特定产品、特定环节等开展的集中性检查。</w:t>
      </w:r>
    </w:p>
    <w:p w14:paraId="43931FA5">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ascii="黑体" w:hAnsi="黑体" w:eastAsia="黑体"/>
          <w:highlight w:val="none"/>
        </w:rPr>
      </w:pPr>
      <w:bookmarkStart w:id="132" w:name="_Toc744886040"/>
      <w:bookmarkEnd w:id="132"/>
      <w:bookmarkStart w:id="133" w:name="_Toc1122956086"/>
      <w:bookmarkEnd w:id="133"/>
      <w:bookmarkStart w:id="134" w:name="_Toc2096101704"/>
      <w:bookmarkEnd w:id="134"/>
    </w:p>
    <w:p w14:paraId="3DA997CF">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延伸检查 extension inspection</w:t>
      </w:r>
    </w:p>
    <w:p w14:paraId="2BBFB303">
      <w:pPr>
        <w:pStyle w:val="37"/>
        <w:ind w:firstLine="420"/>
        <w:rPr>
          <w:rFonts w:hint="default" w:ascii="黑体" w:hAnsi="黑体" w:eastAsia="黑体" w:cs="Times New Roman"/>
          <w:sz w:val="21"/>
          <w:highlight w:val="none"/>
          <w:lang w:val="en-US" w:eastAsia="zh-CN" w:bidi="ar-SA"/>
        </w:rPr>
      </w:pPr>
      <w:r>
        <w:rPr>
          <w:rFonts w:hint="eastAsia"/>
          <w:highlight w:val="none"/>
        </w:rPr>
        <w:t>监督管理部门根据质量安全风险防控需要，</w:t>
      </w:r>
      <w:r>
        <w:rPr>
          <w:rFonts w:hint="eastAsia"/>
          <w:highlight w:val="none"/>
          <w:lang w:val="en-US" w:eastAsia="zh-CN"/>
        </w:rPr>
        <w:t>对为企业生产经营</w:t>
      </w:r>
      <w:r>
        <w:rPr>
          <w:rFonts w:hint="eastAsia"/>
          <w:highlight w:val="none"/>
        </w:rPr>
        <w:t>活动提供产品或者服务的其他单位和个人开展</w:t>
      </w:r>
      <w:r>
        <w:rPr>
          <w:rFonts w:hint="eastAsia"/>
          <w:highlight w:val="none"/>
          <w:lang w:val="en-US" w:eastAsia="zh-CN"/>
        </w:rPr>
        <w:t>的</w:t>
      </w:r>
      <w:r>
        <w:rPr>
          <w:rFonts w:hint="eastAsia"/>
          <w:highlight w:val="none"/>
        </w:rPr>
        <w:t>检查</w:t>
      </w:r>
      <w:r>
        <w:rPr>
          <w:rFonts w:hint="eastAsia"/>
          <w:highlight w:val="none"/>
          <w:lang w:eastAsia="zh-CN"/>
        </w:rPr>
        <w:t>。</w:t>
      </w:r>
    </w:p>
    <w:p w14:paraId="5AB49F0E">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35" w:name="_Toc1617495917"/>
      <w:bookmarkEnd w:id="135"/>
      <w:bookmarkStart w:id="136" w:name="_Toc1859593740"/>
      <w:bookmarkEnd w:id="136"/>
      <w:bookmarkStart w:id="137" w:name="_Toc1436647566"/>
      <w:bookmarkEnd w:id="137"/>
    </w:p>
    <w:p w14:paraId="27806664">
      <w:pPr>
        <w:pStyle w:val="37"/>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联合检查 joint inspection</w:t>
      </w:r>
    </w:p>
    <w:p w14:paraId="6F42E59B">
      <w:pPr>
        <w:pStyle w:val="37"/>
        <w:ind w:firstLine="420"/>
        <w:rPr>
          <w:rFonts w:hint="default"/>
          <w:highlight w:val="none"/>
          <w:lang w:val="en-US" w:eastAsia="zh-CN"/>
        </w:rPr>
      </w:pPr>
      <w:r>
        <w:rPr>
          <w:rFonts w:hint="eastAsia"/>
          <w:highlight w:val="none"/>
          <w:lang w:val="en-US" w:eastAsia="zh-CN"/>
        </w:rPr>
        <w:t>与其他相关部门共同开展的检查。</w:t>
      </w:r>
    </w:p>
    <w:p w14:paraId="6FB3597F">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38" w:name="_Toc258389646"/>
      <w:bookmarkEnd w:id="138"/>
      <w:bookmarkStart w:id="139" w:name="_Toc1862473389"/>
      <w:bookmarkEnd w:id="139"/>
      <w:bookmarkStart w:id="140" w:name="_Toc1576998541"/>
      <w:bookmarkEnd w:id="140"/>
    </w:p>
    <w:p w14:paraId="79D4465E">
      <w:pPr>
        <w:pStyle w:val="47"/>
        <w:numPr>
          <w:ilvl w:val="2"/>
          <w:numId w:val="0"/>
        </w:numPr>
        <w:ind w:leftChars="-200" w:firstLine="840" w:firstLineChars="400"/>
        <w:rPr>
          <w:rFonts w:hint="default" w:ascii="黑体" w:hAnsi="黑体" w:eastAsia="黑体" w:cs="Times New Roman"/>
          <w:b w:val="0"/>
          <w:bCs w:val="0"/>
          <w:sz w:val="21"/>
          <w:highlight w:val="none"/>
          <w:lang w:val="en-US" w:eastAsia="zh-CN" w:bidi="ar-SA"/>
        </w:rPr>
      </w:pPr>
      <w:r>
        <w:rPr>
          <w:rFonts w:hint="eastAsia" w:ascii="黑体" w:hAnsi="黑体" w:eastAsia="黑体" w:cs="Times New Roman"/>
          <w:b w:val="0"/>
          <w:bCs w:val="0"/>
          <w:sz w:val="21"/>
          <w:highlight w:val="none"/>
          <w:lang w:val="en-US" w:eastAsia="zh-CN" w:bidi="ar-SA"/>
        </w:rPr>
        <w:t>检查计划</w:t>
      </w:r>
      <w:r>
        <w:rPr>
          <w:rFonts w:hint="default" w:ascii="黑体" w:hAnsi="黑体" w:eastAsia="黑体" w:cs="Times New Roman"/>
          <w:b w:val="0"/>
          <w:bCs w:val="0"/>
          <w:sz w:val="21"/>
          <w:highlight w:val="none"/>
          <w:lang w:eastAsia="zh-CN" w:bidi="ar-SA"/>
        </w:rPr>
        <w:t xml:space="preserve"> inspection plan</w:t>
      </w:r>
    </w:p>
    <w:p w14:paraId="1313AD66">
      <w:pPr>
        <w:pStyle w:val="37"/>
        <w:ind w:firstLine="420"/>
        <w:rPr>
          <w:rFonts w:hint="default"/>
          <w:b w:val="0"/>
          <w:bCs w:val="0"/>
          <w:highlight w:val="none"/>
          <w:lang w:val="en-US" w:eastAsia="zh-CN"/>
        </w:rPr>
      </w:pPr>
      <w:r>
        <w:rPr>
          <w:rFonts w:hint="eastAsia"/>
          <w:b w:val="0"/>
          <w:bCs w:val="0"/>
          <w:highlight w:val="none"/>
          <w:lang w:val="en-US" w:eastAsia="zh-CN"/>
        </w:rPr>
        <w:t>对一定周期内检查任务及工作的统筹安排。</w:t>
      </w:r>
    </w:p>
    <w:p w14:paraId="343B484D">
      <w:pPr>
        <w:pStyle w:val="49"/>
        <w:rPr>
          <w:rFonts w:hint="eastAsia"/>
          <w:lang w:val="en-US" w:eastAsia="zh-CN"/>
        </w:rPr>
      </w:pPr>
      <w:r>
        <w:rPr>
          <w:rFonts w:hint="eastAsia"/>
          <w:lang w:val="en-US" w:eastAsia="zh-CN"/>
        </w:rPr>
        <w:t>日常检查计划主要包括年度检查计划和周检查计划。</w:t>
      </w:r>
    </w:p>
    <w:p w14:paraId="200569DF">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41" w:name="_Toc542846088"/>
      <w:bookmarkEnd w:id="141"/>
      <w:bookmarkStart w:id="142" w:name="_Toc371307313"/>
      <w:bookmarkEnd w:id="142"/>
      <w:bookmarkStart w:id="143" w:name="_Toc868610251"/>
      <w:bookmarkEnd w:id="143"/>
    </w:p>
    <w:p w14:paraId="132790BE">
      <w:pPr>
        <w:pStyle w:val="47"/>
        <w:numPr>
          <w:ilvl w:val="2"/>
          <w:numId w:val="0"/>
        </w:numPr>
        <w:ind w:firstLine="420" w:firstLineChars="200"/>
        <w:rPr>
          <w:rFonts w:hint="eastAsia" w:ascii="黑体" w:hAnsi="黑体" w:eastAsia="黑体" w:cs="Times New Roman"/>
          <w:b w:val="0"/>
          <w:bCs w:val="0"/>
          <w:sz w:val="21"/>
          <w:highlight w:val="none"/>
          <w:lang w:val="en-US" w:eastAsia="zh-CN" w:bidi="ar-SA"/>
        </w:rPr>
      </w:pPr>
      <w:r>
        <w:rPr>
          <w:rFonts w:hint="eastAsia" w:ascii="黑体" w:hAnsi="黑体" w:eastAsia="黑体" w:cs="Times New Roman"/>
          <w:b w:val="0"/>
          <w:bCs w:val="0"/>
          <w:sz w:val="21"/>
          <w:highlight w:val="none"/>
          <w:lang w:val="en-US" w:eastAsia="zh-CN" w:bidi="ar-SA"/>
        </w:rPr>
        <w:t>检查方案</w:t>
      </w:r>
      <w:r>
        <w:rPr>
          <w:rFonts w:hint="default" w:ascii="黑体" w:hAnsi="黑体" w:eastAsia="黑体" w:cs="Times New Roman"/>
          <w:b w:val="0"/>
          <w:bCs w:val="0"/>
          <w:sz w:val="21"/>
          <w:highlight w:val="none"/>
          <w:lang w:eastAsia="zh-CN" w:bidi="ar-SA"/>
        </w:rPr>
        <w:t xml:space="preserve"> inspection </w:t>
      </w:r>
      <w:r>
        <w:rPr>
          <w:rFonts w:hint="eastAsia" w:ascii="黑体" w:hAnsi="黑体" w:eastAsia="黑体" w:cs="Times New Roman"/>
          <w:b w:val="0"/>
          <w:bCs w:val="0"/>
          <w:sz w:val="21"/>
          <w:highlight w:val="none"/>
          <w:lang w:val="en-US" w:eastAsia="zh-Hans" w:bidi="ar-SA"/>
        </w:rPr>
        <w:t>scheme</w:t>
      </w:r>
    </w:p>
    <w:p w14:paraId="66F11B0E">
      <w:pPr>
        <w:pStyle w:val="37"/>
        <w:ind w:firstLine="420"/>
        <w:rPr>
          <w:rFonts w:hint="eastAsia"/>
          <w:b w:val="0"/>
          <w:bCs w:val="0"/>
          <w:highlight w:val="none"/>
          <w:lang w:val="en-US" w:eastAsia="zh-CN"/>
        </w:rPr>
      </w:pPr>
      <w:r>
        <w:rPr>
          <w:rFonts w:hint="eastAsia"/>
          <w:b w:val="0"/>
          <w:bCs w:val="0"/>
          <w:highlight w:val="none"/>
          <w:lang w:val="en-US" w:eastAsia="zh-CN"/>
        </w:rPr>
        <w:t>对一次检查任务和工作的具体安排。</w:t>
      </w:r>
    </w:p>
    <w:p w14:paraId="6E851907">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144" w:name="_Toc2122015056"/>
      <w:bookmarkEnd w:id="144"/>
      <w:bookmarkStart w:id="145" w:name="_Toc1103668560"/>
      <w:bookmarkEnd w:id="145"/>
      <w:bookmarkStart w:id="146" w:name="_Toc138656251"/>
      <w:bookmarkEnd w:id="146"/>
    </w:p>
    <w:p w14:paraId="6CEFD94B">
      <w:pPr>
        <w:pStyle w:val="47"/>
        <w:numPr>
          <w:ilvl w:val="2"/>
          <w:numId w:val="0"/>
        </w:numPr>
        <w:ind w:leftChars="-200" w:firstLine="840" w:firstLineChars="400"/>
        <w:rPr>
          <w:rFonts w:hint="eastAsia" w:ascii="黑体" w:hAnsi="黑体" w:eastAsia="黑体" w:cs="Times New Roman"/>
          <w:b w:val="0"/>
          <w:bCs w:val="0"/>
          <w:kern w:val="2"/>
          <w:sz w:val="21"/>
          <w:szCs w:val="21"/>
          <w:highlight w:val="cyan"/>
          <w:lang w:val="en-US" w:eastAsia="zh-CN" w:bidi="ar-SA"/>
        </w:rPr>
      </w:pPr>
      <w:r>
        <w:rPr>
          <w:rFonts w:hint="eastAsia" w:ascii="黑体" w:hAnsi="黑体" w:eastAsia="黑体" w:cs="Times New Roman"/>
          <w:b w:val="0"/>
          <w:bCs w:val="0"/>
          <w:sz w:val="21"/>
          <w:highlight w:val="none"/>
          <w:lang w:val="en-US" w:eastAsia="zh-CN" w:bidi="ar-SA"/>
        </w:rPr>
        <w:t>许可事项</w:t>
      </w:r>
      <w:r>
        <w:rPr>
          <w:rFonts w:hint="default" w:ascii="黑体" w:hAnsi="黑体" w:eastAsia="黑体" w:cs="Times New Roman"/>
          <w:b w:val="0"/>
          <w:bCs w:val="0"/>
          <w:sz w:val="21"/>
          <w:highlight w:val="none"/>
          <w:lang w:eastAsia="zh-CN" w:bidi="ar-SA"/>
        </w:rPr>
        <w:t xml:space="preserve"> licensing items</w:t>
      </w:r>
    </w:p>
    <w:p w14:paraId="4FA48B94">
      <w:pPr>
        <w:pStyle w:val="37"/>
        <w:ind w:firstLine="420"/>
        <w:rPr>
          <w:rFonts w:hint="eastAsia"/>
          <w:b w:val="0"/>
          <w:bCs w:val="0"/>
          <w:highlight w:val="none"/>
          <w:lang w:val="en-US" w:eastAsia="zh-CN"/>
        </w:rPr>
      </w:pPr>
      <w:r>
        <w:rPr>
          <w:rFonts w:hint="eastAsia"/>
          <w:b w:val="0"/>
          <w:bCs w:val="0"/>
          <w:highlight w:val="none"/>
          <w:lang w:val="en-US" w:eastAsia="zh-CN"/>
        </w:rPr>
        <w:t>药械化许可资质上载明的经行政许可部门核准的与许可权限相关的信息。</w:t>
      </w:r>
    </w:p>
    <w:p w14:paraId="29D4292F">
      <w:pPr>
        <w:pStyle w:val="54"/>
        <w:numPr>
          <w:ilvl w:val="0"/>
          <w:numId w:val="33"/>
        </w:numPr>
        <w:ind w:left="811" w:hanging="391"/>
        <w:rPr>
          <w:rFonts w:hint="eastAsia"/>
          <w:b w:val="0"/>
          <w:bCs w:val="0"/>
          <w:highlight w:val="none"/>
          <w:lang w:val="en-US" w:eastAsia="zh-CN"/>
        </w:rPr>
      </w:pPr>
      <w:r>
        <w:rPr>
          <w:rFonts w:hint="eastAsia"/>
          <w:b w:val="0"/>
          <w:bCs w:val="0"/>
          <w:highlight w:val="none"/>
          <w:lang w:val="en-US" w:eastAsia="zh-CN"/>
        </w:rPr>
        <w:t>包括生产经营地址、生产经营范围、生产经营方式、仓储地址等信息。</w:t>
      </w:r>
    </w:p>
    <w:p w14:paraId="75212076">
      <w:pPr>
        <w:pStyle w:val="54"/>
        <w:numPr>
          <w:ilvl w:val="0"/>
          <w:numId w:val="33"/>
        </w:numPr>
        <w:ind w:left="811" w:hanging="391"/>
        <w:rPr>
          <w:rFonts w:hint="eastAsia" w:ascii="黑体" w:hAnsi="黑体" w:eastAsia="黑体" w:cs="Times New Roman"/>
          <w:sz w:val="21"/>
          <w:highlight w:val="none"/>
          <w:lang w:val="en-US" w:eastAsia="zh-CN" w:bidi="ar-SA"/>
        </w:rPr>
      </w:pPr>
      <w:r>
        <w:rPr>
          <w:rFonts w:hint="eastAsia"/>
          <w:b w:val="0"/>
          <w:bCs w:val="0"/>
          <w:highlight w:val="none"/>
          <w:lang w:val="en-US" w:eastAsia="zh-CN"/>
        </w:rPr>
        <w:t>药械化许可资质上载明的许可事项以外的为登记事项，包括企业名称、统一社会信用代码、法定代表人、主要负责人、质量负责人等信息。</w:t>
      </w:r>
      <w:bookmarkStart w:id="147" w:name="_Toc1446120463"/>
      <w:bookmarkEnd w:id="147"/>
      <w:bookmarkStart w:id="148" w:name="_Toc375853562"/>
      <w:bookmarkEnd w:id="148"/>
      <w:bookmarkStart w:id="149" w:name="_Toc1541228781"/>
      <w:bookmarkEnd w:id="149"/>
    </w:p>
    <w:p w14:paraId="043C557E">
      <w:pPr>
        <w:pStyle w:val="36"/>
        <w:widowControl w:val="0"/>
        <w:autoSpaceDE/>
        <w:autoSpaceDN/>
        <w:spacing w:afterLines="0"/>
        <w:ind w:hangingChars="200"/>
        <w:rPr>
          <w:rFonts w:hint="default" w:ascii="黑体" w:hAnsi="黑体" w:eastAsia="黑体" w:cs="Times New Roman"/>
          <w:sz w:val="21"/>
          <w:highlight w:val="none"/>
          <w:lang w:val="en-US" w:eastAsia="zh-CN" w:bidi="ar-SA"/>
        </w:rPr>
      </w:pPr>
    </w:p>
    <w:p w14:paraId="05E918F5">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 xml:space="preserve">整改复查 tracking </w:t>
      </w:r>
      <w:r>
        <w:rPr>
          <w:rFonts w:ascii="黑体" w:hAnsi="黑体" w:eastAsia="黑体"/>
          <w:highlight w:val="none"/>
        </w:rPr>
        <w:t>inspection</w:t>
      </w:r>
    </w:p>
    <w:p w14:paraId="34596ACA">
      <w:pPr>
        <w:pStyle w:val="37"/>
        <w:rPr>
          <w:rFonts w:hint="eastAsia"/>
          <w:highlight w:val="none"/>
          <w:lang w:val="en-US" w:eastAsia="zh-CN"/>
        </w:rPr>
      </w:pPr>
      <w:r>
        <w:rPr>
          <w:rFonts w:hint="eastAsia"/>
          <w:highlight w:val="none"/>
          <w:lang w:val="en-US" w:eastAsia="zh-CN"/>
        </w:rPr>
        <w:t>由监督管理部门对企业整改情况持续关注并通过复查进行结果确认的检查。</w:t>
      </w:r>
    </w:p>
    <w:p w14:paraId="497AF5CF">
      <w:pPr>
        <w:pStyle w:val="49"/>
        <w:rPr>
          <w:rFonts w:hint="eastAsia" w:ascii="宋体" w:eastAsia="宋体"/>
          <w:b w:val="0"/>
          <w:bCs w:val="0"/>
          <w:highlight w:val="none"/>
          <w:lang w:val="en-US" w:eastAsia="zh-CN"/>
        </w:rPr>
      </w:pPr>
      <w:r>
        <w:rPr>
          <w:rFonts w:hint="eastAsia" w:ascii="宋体" w:eastAsia="宋体"/>
          <w:b w:val="0"/>
          <w:bCs w:val="0"/>
          <w:highlight w:val="none"/>
          <w:lang w:val="en-US" w:eastAsia="zh-CN"/>
        </w:rPr>
        <w:t>可采取现场检查或对整改报告进行书面审查的方式。</w:t>
      </w:r>
    </w:p>
    <w:p w14:paraId="555608E7">
      <w:pPr>
        <w:pStyle w:val="36"/>
        <w:keepNext w:val="0"/>
        <w:keepLines w:val="0"/>
        <w:pageBreakBefore w:val="0"/>
        <w:widowControl w:val="0"/>
        <w:kinsoku/>
        <w:wordWrap/>
        <w:overflowPunct/>
        <w:topLinePunct w:val="0"/>
        <w:autoSpaceDE/>
        <w:autoSpaceDN/>
        <w:bidi w:val="0"/>
        <w:adjustRightInd/>
        <w:snapToGrid/>
        <w:spacing w:before="157" w:beforeLines="50" w:afterLines="0"/>
        <w:ind w:left="0" w:hangingChars="200"/>
        <w:textAlignment w:val="auto"/>
        <w:rPr>
          <w:rFonts w:hint="default" w:ascii="黑体" w:hAnsi="黑体" w:eastAsia="黑体"/>
          <w:highlight w:val="none"/>
          <w:lang w:val="en-US" w:eastAsia="zh-CN"/>
        </w:rPr>
      </w:pPr>
      <w:bookmarkStart w:id="150" w:name="_Toc1221410707"/>
      <w:bookmarkEnd w:id="150"/>
      <w:bookmarkStart w:id="151" w:name="_Toc484372153"/>
      <w:bookmarkEnd w:id="151"/>
      <w:bookmarkStart w:id="152" w:name="_Toc1874188542"/>
      <w:bookmarkEnd w:id="152"/>
    </w:p>
    <w:p w14:paraId="695937DD">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后处置</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p</w:t>
      </w:r>
      <w:r>
        <w:rPr>
          <w:rFonts w:hint="default" w:ascii="黑体" w:hAnsi="黑体" w:eastAsia="黑体" w:cs="Times New Roman"/>
          <w:sz w:val="21"/>
          <w:highlight w:val="none"/>
          <w:lang w:eastAsia="zh-CN" w:bidi="ar-SA"/>
        </w:rPr>
        <w:t>ost-disposal</w:t>
      </w:r>
    </w:p>
    <w:p w14:paraId="68732892">
      <w:pPr>
        <w:pStyle w:val="37"/>
        <w:ind w:firstLine="420"/>
        <w:rPr>
          <w:rFonts w:hint="default"/>
          <w:lang w:val="en-US" w:eastAsia="zh-CN"/>
        </w:rPr>
      </w:pPr>
      <w:r>
        <w:rPr>
          <w:rFonts w:hint="eastAsia"/>
          <w:b w:val="0"/>
          <w:bCs w:val="0"/>
          <w:highlight w:val="none"/>
          <w:lang w:val="en-US" w:eastAsia="zh-CN"/>
        </w:rPr>
        <w:t>监督检查后，对被检查单位实施的限期整改、告诫、约谈、暂停销售、依法查处等处置措施。</w:t>
      </w:r>
    </w:p>
    <w:p w14:paraId="79372157">
      <w:pPr>
        <w:pStyle w:val="35"/>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lang w:val="en-US" w:eastAsia="zh-CN"/>
        </w:rPr>
      </w:pPr>
      <w:bookmarkStart w:id="153" w:name="_Toc1879753341"/>
      <w:bookmarkEnd w:id="153"/>
      <w:bookmarkStart w:id="154" w:name="_Toc196691198"/>
      <w:bookmarkEnd w:id="154"/>
      <w:bookmarkStart w:id="155" w:name="_Toc453570876"/>
      <w:bookmarkEnd w:id="155"/>
    </w:p>
    <w:p w14:paraId="0B18D581">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eastAsia" w:hAnsi="黑体"/>
          <w:b w:val="0"/>
          <w:bCs w:val="0"/>
          <w:kern w:val="2"/>
          <w:szCs w:val="21"/>
          <w:highlight w:val="cyan"/>
          <w:lang w:val="en-US" w:eastAsia="zh-CN"/>
        </w:rPr>
      </w:pPr>
      <w:bookmarkStart w:id="156" w:name="_Toc811632053"/>
      <w:bookmarkStart w:id="157" w:name="_Toc1382471170"/>
      <w:bookmarkStart w:id="158" w:name="_Toc1746249729"/>
      <w:r>
        <w:rPr>
          <w:rFonts w:hint="eastAsia"/>
          <w:b w:val="0"/>
          <w:bCs w:val="0"/>
          <w:highlight w:val="none"/>
          <w:lang w:val="en-US" w:eastAsia="zh-CN"/>
        </w:rPr>
        <w:t>限期整改 timely rectification</w:t>
      </w:r>
      <w:bookmarkEnd w:id="156"/>
      <w:bookmarkEnd w:id="157"/>
      <w:bookmarkEnd w:id="158"/>
    </w:p>
    <w:p w14:paraId="4AF868B2">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eastAsia" w:ascii="宋体" w:eastAsia="宋体"/>
          <w:b w:val="0"/>
          <w:bCs w:val="0"/>
          <w:highlight w:val="none"/>
          <w:lang w:val="en-US" w:eastAsia="zh-CN"/>
        </w:rPr>
      </w:pPr>
      <w:bookmarkStart w:id="159" w:name="_Toc283789027"/>
      <w:bookmarkStart w:id="160" w:name="_Toc1567377297"/>
      <w:bookmarkStart w:id="161" w:name="_Toc1707675401"/>
      <w:r>
        <w:rPr>
          <w:rFonts w:hint="eastAsia" w:ascii="宋体" w:eastAsia="宋体"/>
          <w:b w:val="0"/>
          <w:bCs w:val="0"/>
          <w:highlight w:val="none"/>
          <w:lang w:val="en-US" w:eastAsia="zh-CN"/>
        </w:rPr>
        <w:t>监督管理部门对有证据证明可能存在安全隐患，生产经营活动偏离或者不符合质量管理规范、标准的，根据监督检查情况依法采取的要求被检查单位在规定期限内采取纠正预防措施消除安全隐患的风险控制措施。</w:t>
      </w:r>
      <w:bookmarkEnd w:id="159"/>
      <w:bookmarkEnd w:id="160"/>
      <w:bookmarkEnd w:id="161"/>
    </w:p>
    <w:p w14:paraId="70C07FEB">
      <w:pPr>
        <w:pStyle w:val="35"/>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62" w:name="_Toc1875816577"/>
      <w:bookmarkEnd w:id="162"/>
      <w:bookmarkStart w:id="163" w:name="_Toc80996802"/>
      <w:bookmarkEnd w:id="163"/>
      <w:bookmarkStart w:id="164" w:name="_Toc1929006099"/>
      <w:bookmarkEnd w:id="164"/>
    </w:p>
    <w:p w14:paraId="7A2F2BC0">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eastAsia" w:hAnsi="黑体"/>
          <w:b w:val="0"/>
          <w:bCs w:val="0"/>
          <w:kern w:val="2"/>
          <w:szCs w:val="21"/>
          <w:highlight w:val="cyan"/>
          <w:lang w:val="en-US" w:eastAsia="zh-CN"/>
        </w:rPr>
      </w:pPr>
      <w:bookmarkStart w:id="165" w:name="_Toc244887134"/>
      <w:bookmarkStart w:id="166" w:name="_Toc1789271679"/>
      <w:bookmarkStart w:id="167" w:name="_Toc1956102663"/>
      <w:r>
        <w:rPr>
          <w:rFonts w:hint="eastAsia" w:ascii="黑体" w:eastAsia="黑体"/>
          <w:b w:val="0"/>
          <w:bCs w:val="0"/>
          <w:sz w:val="21"/>
          <w:szCs w:val="20"/>
          <w:highlight w:val="none"/>
          <w:lang w:val="en-US" w:eastAsia="zh-CN"/>
        </w:rPr>
        <w:t>告诫</w:t>
      </w:r>
      <w:r>
        <w:rPr>
          <w:rFonts w:hint="eastAsia"/>
          <w:b w:val="0"/>
          <w:bCs w:val="0"/>
          <w:sz w:val="21"/>
          <w:szCs w:val="20"/>
          <w:highlight w:val="none"/>
          <w:lang w:val="en-US" w:eastAsia="zh-CN"/>
        </w:rPr>
        <w:t xml:space="preserve"> admonition</w:t>
      </w:r>
      <w:bookmarkEnd w:id="165"/>
      <w:bookmarkEnd w:id="166"/>
      <w:bookmarkEnd w:id="167"/>
    </w:p>
    <w:p w14:paraId="13DC0D58">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default" w:ascii="宋体" w:eastAsia="宋体"/>
          <w:b w:val="0"/>
          <w:bCs w:val="0"/>
          <w:szCs w:val="22"/>
          <w:highlight w:val="none"/>
          <w:lang w:val="en-US" w:eastAsia="zh-CN"/>
        </w:rPr>
      </w:pPr>
      <w:r>
        <w:rPr>
          <w:rFonts w:hint="eastAsia" w:ascii="宋体" w:eastAsia="宋体"/>
          <w:b w:val="0"/>
          <w:bCs w:val="0"/>
          <w:szCs w:val="22"/>
          <w:highlight w:val="none"/>
          <w:lang w:val="en-US" w:eastAsia="zh-CN"/>
        </w:rPr>
        <w:t>监督管理部门对有证据证明可能存在安全隐患的，根据监督检查情况依法采取的向被检查单位发出告诫信进行风险提醒和警示的风险控制措施。</w:t>
      </w:r>
    </w:p>
    <w:p w14:paraId="7F605B83">
      <w:pPr>
        <w:pStyle w:val="35"/>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68" w:name="_Toc1239393486"/>
      <w:bookmarkEnd w:id="168"/>
      <w:bookmarkStart w:id="169" w:name="_Toc390305118"/>
      <w:bookmarkEnd w:id="169"/>
      <w:bookmarkStart w:id="170" w:name="_Toc1075600012"/>
      <w:bookmarkEnd w:id="170"/>
    </w:p>
    <w:p w14:paraId="10FE8AF8">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eastAsia" w:ascii="黑体" w:hAnsi="黑体" w:eastAsia="黑体"/>
          <w:b w:val="0"/>
          <w:bCs w:val="0"/>
          <w:kern w:val="2"/>
          <w:sz w:val="21"/>
          <w:szCs w:val="21"/>
          <w:highlight w:val="cyan"/>
          <w:lang w:val="en-US" w:eastAsia="zh-CN"/>
        </w:rPr>
      </w:pPr>
      <w:bookmarkStart w:id="171" w:name="_Toc1443060288"/>
      <w:bookmarkStart w:id="172" w:name="_Toc92061238"/>
      <w:bookmarkStart w:id="173" w:name="_Toc2042426949"/>
      <w:r>
        <w:rPr>
          <w:rFonts w:hint="eastAsia" w:ascii="黑体" w:eastAsia="黑体"/>
          <w:b w:val="0"/>
          <w:bCs w:val="0"/>
          <w:sz w:val="21"/>
          <w:szCs w:val="20"/>
          <w:highlight w:val="none"/>
          <w:lang w:val="en-US" w:eastAsia="zh-CN"/>
        </w:rPr>
        <w:t>约谈</w:t>
      </w:r>
      <w:r>
        <w:rPr>
          <w:rFonts w:hint="eastAsia"/>
          <w:b w:val="0"/>
          <w:bCs w:val="0"/>
          <w:sz w:val="21"/>
          <w:szCs w:val="20"/>
          <w:highlight w:val="none"/>
          <w:lang w:val="en-US" w:eastAsia="zh-CN"/>
        </w:rPr>
        <w:t xml:space="preserve"> official warning meeting</w:t>
      </w:r>
      <w:bookmarkEnd w:id="171"/>
      <w:bookmarkEnd w:id="172"/>
      <w:bookmarkEnd w:id="173"/>
    </w:p>
    <w:p w14:paraId="22106D53">
      <w:pPr>
        <w:pStyle w:val="54"/>
        <w:numPr>
          <w:ilvl w:val="-1"/>
          <w:numId w:val="0"/>
        </w:numPr>
        <w:ind w:left="0" w:firstLine="0"/>
        <w:rPr>
          <w:rFonts w:hint="eastAsia"/>
          <w:b w:val="0"/>
          <w:bCs w:val="0"/>
          <w:sz w:val="21"/>
          <w:szCs w:val="20"/>
          <w:highlight w:val="none"/>
          <w:lang w:val="en-US" w:eastAsia="zh-CN"/>
        </w:rPr>
      </w:pPr>
      <w:r>
        <w:rPr>
          <w:rFonts w:hint="default"/>
          <w:b w:val="0"/>
          <w:bCs w:val="0"/>
          <w:highlight w:val="none"/>
          <w:lang w:val="en-US" w:eastAsia="zh-CN"/>
        </w:rPr>
        <w:t>　</w:t>
      </w:r>
      <w:r>
        <w:rPr>
          <w:rFonts w:hint="eastAsia"/>
          <w:b w:val="0"/>
          <w:bCs w:val="0"/>
          <w:sz w:val="21"/>
          <w:szCs w:val="20"/>
          <w:highlight w:val="none"/>
          <w:lang w:val="en-US" w:eastAsia="zh-CN"/>
        </w:rPr>
        <w:t>　监督管理部门对有证据证明可能存在安全隐患，且未及时采取措施消除的，根据监督检查情况依法采取的对被检查单位法定代表人、主要负责人进行警示谈话，指出问题、明确要求、督促整改的风险控制措施。</w:t>
      </w:r>
    </w:p>
    <w:p w14:paraId="52DDF138">
      <w:pPr>
        <w:pStyle w:val="35"/>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74" w:name="_Toc1085001226"/>
      <w:bookmarkEnd w:id="174"/>
      <w:bookmarkStart w:id="175" w:name="_Toc1981434845"/>
      <w:bookmarkEnd w:id="175"/>
      <w:bookmarkStart w:id="176" w:name="_Toc1691118195"/>
      <w:bookmarkEnd w:id="176"/>
    </w:p>
    <w:p w14:paraId="05F98147">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line="240" w:lineRule="auto"/>
        <w:ind w:left="0" w:leftChars="0" w:right="0" w:rightChars="0" w:firstLine="420" w:firstLineChars="0"/>
        <w:jc w:val="both"/>
        <w:textAlignment w:val="auto"/>
        <w:outlineLvl w:val="2"/>
        <w:rPr>
          <w:rFonts w:hint="eastAsia" w:ascii="黑体" w:hAnsi="黑体" w:eastAsia="黑体"/>
          <w:b w:val="0"/>
          <w:bCs w:val="0"/>
          <w:kern w:val="2"/>
          <w:sz w:val="21"/>
          <w:szCs w:val="21"/>
          <w:highlight w:val="cyan"/>
          <w:lang w:val="en-US" w:eastAsia="zh-CN"/>
        </w:rPr>
      </w:pPr>
      <w:bookmarkStart w:id="177" w:name="_Toc1331958705"/>
      <w:bookmarkStart w:id="178" w:name="_Toc677435320"/>
      <w:bookmarkStart w:id="179" w:name="_Toc946525886"/>
      <w:r>
        <w:rPr>
          <w:rFonts w:hint="eastAsia" w:ascii="黑体" w:eastAsia="黑体"/>
          <w:b w:val="0"/>
          <w:bCs w:val="0"/>
          <w:sz w:val="21"/>
          <w:szCs w:val="20"/>
          <w:highlight w:val="none"/>
          <w:lang w:val="en-US" w:eastAsia="zh-CN"/>
        </w:rPr>
        <w:t>暂停</w:t>
      </w:r>
      <w:r>
        <w:rPr>
          <w:rFonts w:hint="eastAsia"/>
          <w:b w:val="0"/>
          <w:bCs w:val="0"/>
          <w:sz w:val="21"/>
          <w:szCs w:val="20"/>
          <w:highlight w:val="none"/>
          <w:lang w:val="en-US" w:eastAsia="zh-CN"/>
        </w:rPr>
        <w:t>生产</w:t>
      </w:r>
      <w:r>
        <w:rPr>
          <w:rFonts w:hint="eastAsia" w:ascii="黑体" w:eastAsia="黑体"/>
          <w:b w:val="0"/>
          <w:bCs w:val="0"/>
          <w:sz w:val="21"/>
          <w:szCs w:val="20"/>
          <w:highlight w:val="none"/>
          <w:lang w:val="en-US" w:eastAsia="zh-CN"/>
        </w:rPr>
        <w:t>销售</w:t>
      </w:r>
      <w:r>
        <w:rPr>
          <w:rFonts w:hint="eastAsia"/>
          <w:b w:val="0"/>
          <w:bCs w:val="0"/>
          <w:sz w:val="21"/>
          <w:szCs w:val="20"/>
          <w:highlight w:val="none"/>
          <w:lang w:val="en-US" w:eastAsia="zh-CN"/>
        </w:rPr>
        <w:t xml:space="preserve"> </w:t>
      </w:r>
      <w:r>
        <w:rPr>
          <w:rFonts w:hint="eastAsia"/>
          <w:highlight w:val="none"/>
        </w:rPr>
        <w:t xml:space="preserve"> </w:t>
      </w:r>
      <w:r>
        <w:rPr>
          <w:rFonts w:hint="eastAsia"/>
          <w:highlight w:val="none"/>
          <w:lang w:val="en-US" w:eastAsia="zh-CN"/>
        </w:rPr>
        <w:t>s</w:t>
      </w:r>
      <w:r>
        <w:rPr>
          <w:rFonts w:hint="eastAsia"/>
          <w:highlight w:val="none"/>
        </w:rPr>
        <w:t>uspension production and sales</w:t>
      </w:r>
      <w:bookmarkEnd w:id="177"/>
      <w:bookmarkEnd w:id="178"/>
      <w:bookmarkEnd w:id="179"/>
    </w:p>
    <w:p w14:paraId="5C6AFA12">
      <w:pPr>
        <w:pStyle w:val="54"/>
        <w:numPr>
          <w:ilvl w:val="-1"/>
          <w:numId w:val="0"/>
        </w:numPr>
        <w:ind w:left="0" w:firstLine="360"/>
        <w:rPr>
          <w:rFonts w:hint="eastAsia" w:ascii="宋体" w:eastAsia="宋体"/>
          <w:b w:val="0"/>
          <w:bCs w:val="0"/>
          <w:sz w:val="21"/>
          <w:szCs w:val="20"/>
          <w:highlight w:val="none"/>
          <w:lang w:val="en-US" w:eastAsia="zh-CN"/>
        </w:rPr>
      </w:pPr>
      <w:r>
        <w:rPr>
          <w:rFonts w:hint="eastAsia"/>
          <w:b w:val="0"/>
          <w:bCs w:val="0"/>
          <w:sz w:val="21"/>
          <w:szCs w:val="20"/>
          <w:highlight w:val="none"/>
          <w:lang w:val="en-US" w:eastAsia="zh-CN"/>
        </w:rPr>
        <w:t>监督管理部门依法对</w:t>
      </w:r>
      <w:r>
        <w:rPr>
          <w:rFonts w:hint="eastAsia" w:ascii="宋体" w:eastAsia="宋体"/>
          <w:b w:val="0"/>
          <w:bCs w:val="0"/>
          <w:sz w:val="21"/>
          <w:szCs w:val="20"/>
          <w:highlight w:val="none"/>
          <w:lang w:val="en-US" w:eastAsia="zh-CN"/>
        </w:rPr>
        <w:t>被检查单位</w:t>
      </w:r>
      <w:r>
        <w:rPr>
          <w:rFonts w:hint="eastAsia"/>
          <w:b w:val="0"/>
          <w:bCs w:val="0"/>
          <w:sz w:val="21"/>
          <w:szCs w:val="20"/>
          <w:highlight w:val="none"/>
          <w:lang w:val="en-US" w:eastAsia="zh-CN"/>
        </w:rPr>
        <w:t>采取暂停生产销售产品的风险控制措施</w:t>
      </w:r>
      <w:r>
        <w:rPr>
          <w:rFonts w:hint="eastAsia" w:ascii="宋体" w:eastAsia="宋体"/>
          <w:b w:val="0"/>
          <w:bCs w:val="0"/>
          <w:sz w:val="21"/>
          <w:szCs w:val="20"/>
          <w:highlight w:val="none"/>
          <w:lang w:val="en-US" w:eastAsia="zh-CN"/>
        </w:rPr>
        <w:t>。</w:t>
      </w:r>
    </w:p>
    <w:p w14:paraId="6AB5E94C">
      <w:pPr>
        <w:pStyle w:val="49"/>
        <w:rPr>
          <w:rFonts w:hint="default"/>
          <w:b w:val="0"/>
          <w:bCs w:val="0"/>
          <w:highlight w:val="none"/>
          <w:lang w:val="en-US" w:eastAsia="zh-CN"/>
        </w:rPr>
      </w:pPr>
      <w:r>
        <w:rPr>
          <w:rFonts w:hint="eastAsia" w:ascii="宋体" w:eastAsia="宋体"/>
          <w:b w:val="0"/>
          <w:bCs w:val="0"/>
          <w:highlight w:val="none"/>
          <w:lang w:val="en-US" w:eastAsia="zh-CN"/>
        </w:rPr>
        <w:t>分为暂停全部经营范围</w:t>
      </w:r>
      <w:r>
        <w:rPr>
          <w:rFonts w:hint="eastAsia"/>
          <w:b w:val="0"/>
          <w:bCs w:val="0"/>
          <w:highlight w:val="none"/>
          <w:lang w:val="en-US" w:eastAsia="zh-CN"/>
        </w:rPr>
        <w:t>生产</w:t>
      </w:r>
      <w:r>
        <w:rPr>
          <w:rFonts w:hint="eastAsia" w:ascii="宋体" w:eastAsia="宋体"/>
          <w:b w:val="0"/>
          <w:bCs w:val="0"/>
          <w:highlight w:val="none"/>
          <w:lang w:val="en-US" w:eastAsia="zh-CN"/>
        </w:rPr>
        <w:t>销售、暂停部分经营范围</w:t>
      </w:r>
      <w:r>
        <w:rPr>
          <w:rFonts w:hint="eastAsia"/>
          <w:b w:val="0"/>
          <w:bCs w:val="0"/>
          <w:highlight w:val="none"/>
          <w:lang w:val="en-US" w:eastAsia="zh-CN"/>
        </w:rPr>
        <w:t>生产</w:t>
      </w:r>
      <w:r>
        <w:rPr>
          <w:rFonts w:hint="eastAsia" w:ascii="宋体" w:eastAsia="宋体"/>
          <w:b w:val="0"/>
          <w:bCs w:val="0"/>
          <w:highlight w:val="none"/>
          <w:lang w:val="en-US" w:eastAsia="zh-CN"/>
        </w:rPr>
        <w:t>销售、暂停相关</w:t>
      </w:r>
      <w:r>
        <w:rPr>
          <w:rFonts w:hint="eastAsia"/>
          <w:b w:val="0"/>
          <w:bCs w:val="0"/>
          <w:highlight w:val="none"/>
          <w:lang w:val="en-US" w:eastAsia="zh-CN"/>
        </w:rPr>
        <w:t>产</w:t>
      </w:r>
      <w:r>
        <w:rPr>
          <w:rFonts w:hint="eastAsia" w:ascii="宋体" w:eastAsia="宋体"/>
          <w:b w:val="0"/>
          <w:bCs w:val="0"/>
          <w:highlight w:val="none"/>
          <w:lang w:val="en-US" w:eastAsia="zh-CN"/>
        </w:rPr>
        <w:t>品</w:t>
      </w:r>
      <w:r>
        <w:rPr>
          <w:rFonts w:hint="eastAsia"/>
          <w:b w:val="0"/>
          <w:bCs w:val="0"/>
          <w:highlight w:val="none"/>
          <w:lang w:val="en-US" w:eastAsia="zh-CN"/>
        </w:rPr>
        <w:t>生产</w:t>
      </w:r>
      <w:r>
        <w:rPr>
          <w:rFonts w:hint="eastAsia" w:ascii="宋体" w:eastAsia="宋体"/>
          <w:b w:val="0"/>
          <w:bCs w:val="0"/>
          <w:highlight w:val="none"/>
          <w:lang w:val="en-US" w:eastAsia="zh-CN"/>
        </w:rPr>
        <w:t>销售三类。</w:t>
      </w:r>
    </w:p>
    <w:p w14:paraId="6ACEE204">
      <w:pPr>
        <w:pStyle w:val="47"/>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420" w:leftChars="0" w:right="0" w:rightChars="0" w:hanging="420" w:hangingChars="200"/>
        <w:jc w:val="both"/>
        <w:textAlignment w:val="auto"/>
        <w:outlineLvl w:val="0"/>
        <w:rPr>
          <w:rFonts w:hint="eastAsia" w:ascii="黑体" w:hAnsi="黑体" w:eastAsia="黑体"/>
          <w:b w:val="0"/>
          <w:bCs w:val="0"/>
          <w:highlight w:val="none"/>
          <w:lang w:val="en-US" w:eastAsia="zh-CN"/>
        </w:rPr>
      </w:pPr>
      <w:bookmarkStart w:id="180" w:name="_Toc860418607"/>
      <w:bookmarkStart w:id="181" w:name="_Toc1844610493"/>
      <w:bookmarkStart w:id="182" w:name="_Toc483558189"/>
      <w:bookmarkStart w:id="183" w:name="_Toc573417432"/>
      <w:bookmarkStart w:id="184" w:name="_Toc256761408"/>
      <w:bookmarkStart w:id="185" w:name="_Toc1397452027"/>
      <w:bookmarkStart w:id="186" w:name="_Toc1906651229"/>
      <w:r>
        <w:rPr>
          <w:rFonts w:hint="eastAsia" w:ascii="黑体" w:hAnsi="黑体" w:eastAsia="黑体" w:cs="Times New Roman"/>
          <w:sz w:val="21"/>
          <w:szCs w:val="20"/>
          <w:highlight w:val="none"/>
          <w:lang w:val="en-US" w:eastAsia="zh-CN" w:bidi="ar-SA"/>
        </w:rPr>
        <w:t>抽检相关术语</w:t>
      </w:r>
      <w:bookmarkEnd w:id="180"/>
      <w:bookmarkEnd w:id="181"/>
      <w:bookmarkEnd w:id="182"/>
      <w:bookmarkEnd w:id="183"/>
      <w:bookmarkEnd w:id="184"/>
      <w:bookmarkEnd w:id="185"/>
      <w:bookmarkEnd w:id="186"/>
    </w:p>
    <w:p w14:paraId="198C6E5A">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87" w:name="_Toc1294627759"/>
      <w:bookmarkEnd w:id="187"/>
      <w:bookmarkStart w:id="188" w:name="_Toc1849192673"/>
      <w:bookmarkEnd w:id="188"/>
      <w:bookmarkStart w:id="189" w:name="_Toc2048132598"/>
      <w:bookmarkEnd w:id="189"/>
    </w:p>
    <w:p w14:paraId="60452CAA">
      <w:pPr>
        <w:pStyle w:val="37"/>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评价抽检</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evaluation</w:t>
      </w:r>
      <w:r>
        <w:rPr>
          <w:rFonts w:hint="default" w:ascii="黑体" w:hAnsi="黑体" w:eastAsia="黑体" w:cs="Times New Roman"/>
          <w:sz w:val="21"/>
          <w:highlight w:val="none"/>
          <w:lang w:eastAsia="zh-Hans" w:bidi="ar-SA"/>
        </w:rPr>
        <w:t xml:space="preserve"> </w:t>
      </w:r>
      <w:r>
        <w:rPr>
          <w:rFonts w:hint="eastAsia" w:ascii="黑体" w:hAnsi="黑体" w:eastAsia="黑体" w:cs="Times New Roman"/>
          <w:sz w:val="21"/>
          <w:highlight w:val="none"/>
          <w:lang w:val="en-US" w:eastAsia="zh-Hans" w:bidi="ar-SA"/>
        </w:rPr>
        <w:t>r</w:t>
      </w:r>
      <w:r>
        <w:rPr>
          <w:rFonts w:hint="default" w:ascii="黑体" w:hAnsi="黑体" w:eastAsia="黑体" w:cs="Times New Roman"/>
          <w:sz w:val="21"/>
          <w:highlight w:val="none"/>
          <w:lang w:eastAsia="zh-CN" w:bidi="ar-SA"/>
        </w:rPr>
        <w:t>andom sampl</w:t>
      </w:r>
      <w:r>
        <w:rPr>
          <w:rFonts w:hint="eastAsia" w:ascii="黑体" w:hAnsi="黑体" w:eastAsia="黑体" w:cs="Times New Roman"/>
          <w:sz w:val="21"/>
          <w:highlight w:val="none"/>
          <w:lang w:val="en-US" w:eastAsia="zh-Hans" w:bidi="ar-SA"/>
        </w:rPr>
        <w:t>ing</w:t>
      </w:r>
      <w:r>
        <w:rPr>
          <w:rFonts w:hint="default" w:ascii="黑体" w:hAnsi="黑体" w:eastAsia="黑体" w:cs="Times New Roman"/>
          <w:sz w:val="21"/>
          <w:highlight w:val="none"/>
          <w:lang w:eastAsia="zh-CN" w:bidi="ar-SA"/>
        </w:rPr>
        <w:t xml:space="preserve"> inspection</w:t>
      </w:r>
    </w:p>
    <w:p w14:paraId="6BDBFB0A">
      <w:pPr>
        <w:pStyle w:val="37"/>
        <w:rPr>
          <w:rFonts w:hint="default" w:ascii="黑体" w:hAnsi="黑体" w:eastAsia="黑体" w:cs="Times New Roman"/>
          <w:sz w:val="21"/>
          <w:highlight w:val="none"/>
          <w:lang w:val="en-US" w:eastAsia="zh-CN" w:bidi="ar-SA"/>
        </w:rPr>
      </w:pPr>
      <w:r>
        <w:rPr>
          <w:rFonts w:hint="eastAsia"/>
          <w:sz w:val="21"/>
          <w:szCs w:val="21"/>
          <w:highlight w:val="none"/>
          <w:lang w:val="en-US" w:eastAsia="zh-CN"/>
        </w:rPr>
        <w:t>药品</w:t>
      </w:r>
      <w:r>
        <w:rPr>
          <w:sz w:val="21"/>
          <w:szCs w:val="21"/>
          <w:highlight w:val="none"/>
        </w:rPr>
        <w:t>监督管理部门为评价某类或者一定区域内</w:t>
      </w:r>
      <w:r>
        <w:rPr>
          <w:rFonts w:hint="eastAsia"/>
          <w:sz w:val="21"/>
          <w:szCs w:val="21"/>
          <w:highlight w:val="none"/>
          <w:lang w:val="en-US" w:eastAsia="zh-CN"/>
        </w:rPr>
        <w:t>产</w:t>
      </w:r>
      <w:r>
        <w:rPr>
          <w:sz w:val="21"/>
          <w:szCs w:val="21"/>
          <w:highlight w:val="none"/>
        </w:rPr>
        <w:t>品质量总体水平与质量状况而开展的抽查检验。</w:t>
      </w:r>
    </w:p>
    <w:p w14:paraId="4ACF1B53">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r>
        <w:rPr>
          <w:rFonts w:hint="default" w:ascii="黑体" w:hAnsi="黑体" w:eastAsia="黑体"/>
          <w:highlight w:val="none"/>
          <w:lang w:val="en-US" w:eastAsia="zh-CN"/>
        </w:rPr>
        <w:t>　</w:t>
      </w:r>
      <w:bookmarkStart w:id="190" w:name="_Toc504434109"/>
      <w:bookmarkEnd w:id="190"/>
      <w:bookmarkStart w:id="191" w:name="_Toc997915727"/>
      <w:bookmarkEnd w:id="191"/>
      <w:bookmarkStart w:id="192" w:name="_Toc949196823"/>
      <w:bookmarkEnd w:id="192"/>
    </w:p>
    <w:p w14:paraId="2C1CB46C">
      <w:pPr>
        <w:pStyle w:val="37"/>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监督抽检</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supervision</w:t>
      </w:r>
      <w:r>
        <w:rPr>
          <w:rFonts w:hint="default" w:ascii="黑体" w:hAnsi="黑体" w:eastAsia="黑体" w:cs="Times New Roman"/>
          <w:sz w:val="21"/>
          <w:highlight w:val="none"/>
          <w:lang w:eastAsia="zh-CN" w:bidi="ar-SA"/>
        </w:rPr>
        <w:t xml:space="preserve"> random sampl</w:t>
      </w:r>
      <w:r>
        <w:rPr>
          <w:rFonts w:hint="eastAsia" w:ascii="黑体" w:hAnsi="黑体" w:eastAsia="黑体" w:cs="Times New Roman"/>
          <w:sz w:val="21"/>
          <w:highlight w:val="none"/>
          <w:lang w:val="en-US" w:eastAsia="zh-Hans" w:bidi="ar-SA"/>
        </w:rPr>
        <w:t>ing</w:t>
      </w:r>
      <w:r>
        <w:rPr>
          <w:rFonts w:hint="default" w:ascii="黑体" w:hAnsi="黑体" w:eastAsia="黑体" w:cs="Times New Roman"/>
          <w:sz w:val="21"/>
          <w:highlight w:val="none"/>
          <w:lang w:eastAsia="zh-CN" w:bidi="ar-SA"/>
        </w:rPr>
        <w:t xml:space="preserve"> inspection</w:t>
      </w:r>
    </w:p>
    <w:p w14:paraId="0A4014CE">
      <w:pPr>
        <w:pStyle w:val="47"/>
        <w:numPr>
          <w:ilvl w:val="2"/>
          <w:numId w:val="0"/>
        </w:numPr>
        <w:ind w:firstLine="420" w:firstLineChars="200"/>
        <w:rPr>
          <w:rFonts w:hint="eastAsia" w:cs="Times New Roman"/>
          <w:sz w:val="21"/>
          <w:szCs w:val="21"/>
          <w:highlight w:val="none"/>
          <w:lang w:val="en-US" w:eastAsia="zh-CN" w:bidi="ar-SA"/>
        </w:rPr>
      </w:pPr>
      <w:r>
        <w:rPr>
          <w:rFonts w:hint="eastAsia" w:cs="Times New Roman"/>
          <w:sz w:val="21"/>
          <w:szCs w:val="21"/>
          <w:highlight w:val="none"/>
          <w:lang w:val="en-US" w:eastAsia="zh-CN" w:bidi="ar-SA"/>
        </w:rPr>
        <w:t>药品</w:t>
      </w:r>
      <w:r>
        <w:rPr>
          <w:rFonts w:ascii="宋体" w:hAnsi="Times New Roman" w:eastAsia="宋体" w:cs="Times New Roman"/>
          <w:sz w:val="21"/>
          <w:szCs w:val="21"/>
          <w:highlight w:val="none"/>
          <w:lang w:val="en-US" w:eastAsia="zh-CN" w:bidi="ar-SA"/>
        </w:rPr>
        <w:t>监督管理部门根据监管需要对质量可疑</w:t>
      </w:r>
      <w:r>
        <w:rPr>
          <w:rFonts w:hint="eastAsia" w:cs="Times New Roman"/>
          <w:sz w:val="21"/>
          <w:szCs w:val="21"/>
          <w:highlight w:val="none"/>
          <w:lang w:val="en-US" w:eastAsia="zh-CN" w:bidi="ar-SA"/>
        </w:rPr>
        <w:t>产</w:t>
      </w:r>
      <w:r>
        <w:rPr>
          <w:rFonts w:ascii="宋体" w:hAnsi="Times New Roman" w:eastAsia="宋体" w:cs="Times New Roman"/>
          <w:sz w:val="21"/>
          <w:szCs w:val="21"/>
          <w:highlight w:val="none"/>
          <w:lang w:val="en-US" w:eastAsia="zh-CN" w:bidi="ar-SA"/>
        </w:rPr>
        <w:t>品所进行的抽查检验</w:t>
      </w:r>
      <w:r>
        <w:rPr>
          <w:rFonts w:hint="eastAsia" w:cs="Times New Roman"/>
          <w:sz w:val="21"/>
          <w:szCs w:val="21"/>
          <w:highlight w:val="none"/>
          <w:lang w:val="en-US" w:eastAsia="zh-CN" w:bidi="ar-SA"/>
        </w:rPr>
        <w:t>。</w:t>
      </w:r>
    </w:p>
    <w:p w14:paraId="56A0A7B2">
      <w:pPr>
        <w:pStyle w:val="49"/>
        <w:bidi w:val="0"/>
        <w:rPr>
          <w:lang w:val="en-US" w:eastAsia="zh-CN"/>
        </w:rPr>
      </w:pPr>
      <w:r>
        <w:rPr>
          <w:rFonts w:hint="eastAsia"/>
          <w:lang w:val="en-US" w:eastAsia="zh-CN"/>
        </w:rPr>
        <w:t>监督抽检</w:t>
      </w:r>
      <w:r>
        <w:rPr>
          <w:lang w:val="en-US" w:eastAsia="zh-CN"/>
        </w:rPr>
        <w:t>包括监督检查抽检、稽查执法抽检及应急抽检。</w:t>
      </w:r>
    </w:p>
    <w:p w14:paraId="51ED5E34">
      <w:pPr>
        <w:pStyle w:val="35"/>
        <w:spacing w:beforeLines="0" w:afterLines="0"/>
        <w:rPr>
          <w:lang w:val="en-US" w:eastAsia="zh-CN"/>
        </w:rPr>
      </w:pPr>
    </w:p>
    <w:p w14:paraId="3FC97D0A">
      <w:pPr>
        <w:pStyle w:val="35"/>
        <w:numPr>
          <w:ilvl w:val="-1"/>
          <w:numId w:val="0"/>
        </w:numPr>
        <w:spacing w:beforeLines="0" w:afterLines="0"/>
        <w:ind w:firstLine="420" w:firstLineChars="200"/>
        <w:rPr>
          <w:rFonts w:hint="default" w:ascii="黑体" w:hAnsi="黑体" w:eastAsia="黑体" w:cs="Times New Roman"/>
          <w:sz w:val="21"/>
          <w:szCs w:val="20"/>
          <w:highlight w:val="none"/>
          <w:lang w:val="en-US" w:eastAsia="zh-CN" w:bidi="ar-SA"/>
        </w:rPr>
      </w:pPr>
      <w:r>
        <w:rPr>
          <w:rFonts w:hint="eastAsia" w:ascii="黑体" w:hAnsi="黑体" w:eastAsia="黑体" w:cs="Times New Roman"/>
          <w:sz w:val="21"/>
          <w:szCs w:val="20"/>
          <w:highlight w:val="none"/>
          <w:lang w:val="en-US" w:eastAsia="zh-CN" w:bidi="ar-SA"/>
        </w:rPr>
        <w:t>监督检查抽检</w:t>
      </w:r>
      <w:r>
        <w:rPr>
          <w:rFonts w:hint="eastAsia" w:hAnsi="黑体" w:cs="Times New Roman"/>
          <w:sz w:val="21"/>
          <w:szCs w:val="20"/>
          <w:highlight w:val="none"/>
          <w:lang w:val="en-US" w:eastAsia="zh-CN" w:bidi="ar-SA"/>
        </w:rPr>
        <w:t xml:space="preserve"> </w:t>
      </w:r>
      <w:r>
        <w:rPr>
          <w:rFonts w:hint="eastAsia" w:ascii="黑体" w:hAnsi="黑体" w:eastAsia="黑体"/>
          <w:highlight w:val="none"/>
          <w:lang w:val="en-US" w:eastAsia="zh-Hans"/>
        </w:rPr>
        <w:t>s</w:t>
      </w:r>
      <w:r>
        <w:rPr>
          <w:rFonts w:hint="eastAsia" w:ascii="黑体" w:hAnsi="黑体" w:eastAsia="黑体"/>
          <w:highlight w:val="none"/>
        </w:rPr>
        <w:t>upervisory</w:t>
      </w:r>
      <w:r>
        <w:rPr>
          <w:rFonts w:ascii="黑体" w:hAnsi="黑体" w:eastAsia="黑体"/>
          <w:highlight w:val="none"/>
        </w:rPr>
        <w:t xml:space="preserve"> inspection</w:t>
      </w:r>
      <w:r>
        <w:rPr>
          <w:rFonts w:hint="eastAsia" w:hAnsi="黑体"/>
          <w:highlight w:val="none"/>
          <w:lang w:val="en-US" w:eastAsia="zh-CN"/>
        </w:rPr>
        <w:t xml:space="preserve"> </w:t>
      </w:r>
      <w:r>
        <w:rPr>
          <w:rFonts w:hint="default" w:ascii="黑体" w:hAnsi="黑体" w:eastAsia="黑体" w:cs="Times New Roman"/>
          <w:sz w:val="21"/>
          <w:highlight w:val="none"/>
          <w:lang w:eastAsia="zh-CN" w:bidi="ar-SA"/>
        </w:rPr>
        <w:t>sampling inspection</w:t>
      </w:r>
    </w:p>
    <w:p w14:paraId="3411C63A">
      <w:pPr>
        <w:pStyle w:val="37"/>
        <w:rPr>
          <w:rFonts w:hint="eastAsia"/>
          <w:lang w:val="en-US" w:eastAsia="zh-CN"/>
        </w:rPr>
      </w:pPr>
      <w:r>
        <w:rPr>
          <w:rFonts w:hint="eastAsia"/>
          <w:lang w:val="en-US" w:eastAsia="zh-CN"/>
        </w:rPr>
        <w:t>药品监督管理部门开展各类监督检查时，</w:t>
      </w:r>
      <w:r>
        <w:rPr>
          <w:rFonts w:hint="eastAsia"/>
          <w:highlight w:val="yellow"/>
          <w:lang w:val="en-US" w:eastAsia="zh-CN"/>
        </w:rPr>
        <w:t>对检查中发现的可能存在质量隐患产品实施的抽查检验。</w:t>
      </w:r>
    </w:p>
    <w:p w14:paraId="295A3531">
      <w:pPr>
        <w:pStyle w:val="49"/>
        <w:rPr>
          <w:rFonts w:hint="default"/>
          <w:lang w:val="en-US" w:eastAsia="zh-CN"/>
        </w:rPr>
      </w:pPr>
      <w:r>
        <w:rPr>
          <w:rFonts w:hint="default" w:ascii="宋体" w:hAnsi="Times New Roman" w:eastAsia="宋体" w:cs="Times New Roman"/>
          <w:sz w:val="18"/>
          <w:szCs w:val="18"/>
          <w:highlight w:val="none"/>
          <w:lang w:val="en-US" w:eastAsia="zh-CN" w:bidi="ar-SA"/>
        </w:rPr>
        <w:t>监督检查抽检也叫</w:t>
      </w:r>
      <w:r>
        <w:rPr>
          <w:rFonts w:hint="eastAsia" w:cs="Times New Roman"/>
          <w:sz w:val="18"/>
          <w:szCs w:val="18"/>
          <w:lang w:val="en-US" w:eastAsia="zh-CN" w:bidi="ar-SA"/>
        </w:rPr>
        <w:t>“</w:t>
      </w:r>
      <w:r>
        <w:rPr>
          <w:rFonts w:hint="default" w:ascii="宋体" w:hAnsi="Times New Roman" w:eastAsia="宋体" w:cs="Times New Roman"/>
          <w:sz w:val="18"/>
          <w:szCs w:val="18"/>
          <w:highlight w:val="none"/>
          <w:lang w:val="en-US" w:eastAsia="zh-CN" w:bidi="ar-SA"/>
        </w:rPr>
        <w:t>日常检查抽检</w:t>
      </w:r>
      <w:r>
        <w:rPr>
          <w:rFonts w:hint="eastAsia" w:cs="Times New Roman"/>
          <w:sz w:val="18"/>
          <w:szCs w:val="18"/>
          <w:lang w:val="en-US" w:eastAsia="zh-CN" w:bidi="ar-SA"/>
        </w:rPr>
        <w:t>”，通常采用随机抽样方式</w:t>
      </w:r>
      <w:r>
        <w:rPr>
          <w:rFonts w:hint="default" w:ascii="宋体" w:hAnsi="Times New Roman" w:eastAsia="宋体" w:cs="Times New Roman"/>
          <w:sz w:val="18"/>
          <w:szCs w:val="18"/>
          <w:highlight w:val="none"/>
          <w:lang w:val="en-US" w:eastAsia="zh-CN" w:bidi="ar-SA"/>
        </w:rPr>
        <w:t>。</w:t>
      </w:r>
    </w:p>
    <w:p w14:paraId="3B953CFF">
      <w:pPr>
        <w:pStyle w:val="35"/>
        <w:spacing w:before="157" w:beforeLines="50" w:afterLines="0"/>
        <w:rPr>
          <w:lang w:val="en-US" w:eastAsia="zh-CN"/>
        </w:rPr>
      </w:pPr>
    </w:p>
    <w:p w14:paraId="4669F7FD">
      <w:pPr>
        <w:pStyle w:val="47"/>
        <w:keepNext w:val="0"/>
        <w:keepLines w:val="0"/>
        <w:pageBreakBefore w:val="0"/>
        <w:widowControl/>
        <w:numPr>
          <w:ilvl w:val="2"/>
          <w:numId w:val="0"/>
        </w:numPr>
        <w:kinsoku/>
        <w:wordWrap/>
        <w:overflowPunct/>
        <w:topLinePunct w:val="0"/>
        <w:autoSpaceDE/>
        <w:autoSpaceDN/>
        <w:bidi w:val="0"/>
        <w:adjustRightInd/>
        <w:snapToGrid/>
        <w:spacing w:beforeLines="0" w:afterLines="0"/>
        <w:ind w:leftChars="-200" w:firstLine="840" w:firstLineChars="400"/>
        <w:textAlignment w:val="auto"/>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稽查执法抽检</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l</w:t>
      </w:r>
      <w:r>
        <w:rPr>
          <w:rFonts w:hint="default" w:ascii="黑体" w:hAnsi="黑体" w:eastAsia="黑体" w:cs="Times New Roman"/>
          <w:sz w:val="21"/>
          <w:highlight w:val="none"/>
          <w:lang w:eastAsia="zh-CN" w:bidi="ar-SA"/>
        </w:rPr>
        <w:t>aw enforcement random sampling inspection</w:t>
      </w:r>
    </w:p>
    <w:p w14:paraId="1CC0A6DC">
      <w:pPr>
        <w:pStyle w:val="37"/>
        <w:rPr>
          <w:rFonts w:hint="default" w:ascii="宋体" w:hAnsi="Times New Roman" w:eastAsia="宋体" w:cs="Times New Roman"/>
          <w:sz w:val="21"/>
          <w:szCs w:val="21"/>
          <w:highlight w:val="none"/>
          <w:lang w:val="en-US" w:eastAsia="zh-CN" w:bidi="ar-SA"/>
        </w:rPr>
      </w:pPr>
      <w:r>
        <w:rPr>
          <w:rFonts w:hint="default" w:ascii="宋体" w:hAnsi="Times New Roman" w:eastAsia="宋体" w:cs="Times New Roman"/>
          <w:sz w:val="21"/>
          <w:szCs w:val="21"/>
          <w:highlight w:val="none"/>
          <w:lang w:val="en-US" w:eastAsia="zh-CN" w:bidi="ar-SA"/>
        </w:rPr>
        <w:t>公安</w:t>
      </w:r>
      <w:r>
        <w:rPr>
          <w:rFonts w:hint="eastAsia" w:ascii="宋体" w:eastAsia="宋体" w:cs="Times New Roman"/>
          <w:sz w:val="21"/>
          <w:szCs w:val="21"/>
          <w:highlight w:val="none"/>
          <w:lang w:val="en-US" w:eastAsia="zh-CN" w:bidi="ar-SA"/>
        </w:rPr>
        <w:t>机关</w:t>
      </w:r>
      <w:r>
        <w:rPr>
          <w:rFonts w:hint="default" w:ascii="宋体" w:hAnsi="Times New Roman" w:eastAsia="宋体" w:cs="Times New Roman"/>
          <w:sz w:val="21"/>
          <w:szCs w:val="21"/>
          <w:highlight w:val="none"/>
          <w:lang w:val="en-US" w:eastAsia="zh-CN" w:bidi="ar-SA"/>
        </w:rPr>
        <w:t>、</w:t>
      </w:r>
      <w:r>
        <w:rPr>
          <w:rFonts w:hint="eastAsia" w:ascii="宋体" w:eastAsia="宋体" w:cs="Times New Roman"/>
          <w:sz w:val="21"/>
          <w:szCs w:val="21"/>
          <w:highlight w:val="none"/>
          <w:lang w:val="en-US" w:eastAsia="zh-CN" w:bidi="ar-SA"/>
        </w:rPr>
        <w:t>人民</w:t>
      </w:r>
      <w:r>
        <w:rPr>
          <w:rFonts w:hint="default" w:ascii="宋体" w:hAnsi="Times New Roman" w:eastAsia="宋体" w:cs="Times New Roman"/>
          <w:sz w:val="21"/>
          <w:szCs w:val="21"/>
          <w:highlight w:val="none"/>
          <w:lang w:val="en-US" w:eastAsia="zh-CN" w:bidi="ar-SA"/>
        </w:rPr>
        <w:t>检察院</w:t>
      </w:r>
      <w:r>
        <w:rPr>
          <w:rFonts w:hint="eastAsia" w:ascii="宋体" w:eastAsia="宋体" w:cs="Times New Roman"/>
          <w:sz w:val="21"/>
          <w:szCs w:val="21"/>
          <w:highlight w:val="none"/>
          <w:lang w:val="en-US" w:eastAsia="zh-CN" w:bidi="ar-SA"/>
        </w:rPr>
        <w:t>、人民</w:t>
      </w:r>
      <w:r>
        <w:rPr>
          <w:rFonts w:hint="default" w:ascii="宋体" w:hAnsi="Times New Roman" w:eastAsia="宋体" w:cs="Times New Roman"/>
          <w:sz w:val="21"/>
          <w:szCs w:val="21"/>
          <w:highlight w:val="none"/>
          <w:lang w:val="en-US" w:eastAsia="zh-CN" w:bidi="ar-SA"/>
        </w:rPr>
        <w:t>法院</w:t>
      </w:r>
      <w:r>
        <w:rPr>
          <w:rFonts w:hint="eastAsia" w:ascii="宋体" w:eastAsia="宋体" w:cs="Times New Roman"/>
          <w:sz w:val="21"/>
          <w:szCs w:val="21"/>
          <w:highlight w:val="none"/>
          <w:lang w:val="en-US" w:eastAsia="zh-CN" w:bidi="ar-SA"/>
        </w:rPr>
        <w:t>、药品监督管理等部门因执法</w:t>
      </w:r>
      <w:r>
        <w:rPr>
          <w:rFonts w:hint="default" w:ascii="宋体" w:hAnsi="Times New Roman" w:eastAsia="宋体" w:cs="Times New Roman"/>
          <w:sz w:val="21"/>
          <w:szCs w:val="21"/>
          <w:highlight w:val="none"/>
          <w:lang w:val="en-US" w:eastAsia="zh-CN" w:bidi="ar-SA"/>
        </w:rPr>
        <w:t>办案</w:t>
      </w:r>
      <w:r>
        <w:rPr>
          <w:rFonts w:hint="eastAsia" w:cs="Times New Roman"/>
          <w:sz w:val="21"/>
          <w:szCs w:val="21"/>
          <w:highlight w:val="none"/>
          <w:lang w:val="en-US" w:eastAsia="zh-CN" w:bidi="ar-SA"/>
        </w:rPr>
        <w:t>、</w:t>
      </w:r>
      <w:r>
        <w:rPr>
          <w:rFonts w:hint="eastAsia" w:ascii="宋体" w:eastAsia="宋体" w:cs="Times New Roman"/>
          <w:sz w:val="21"/>
          <w:szCs w:val="21"/>
          <w:highlight w:val="none"/>
          <w:lang w:val="en-US" w:eastAsia="zh-CN" w:bidi="ar-SA"/>
        </w:rPr>
        <w:t>涉案</w:t>
      </w:r>
      <w:r>
        <w:rPr>
          <w:rFonts w:hint="default" w:ascii="宋体" w:hAnsi="Times New Roman" w:eastAsia="宋体" w:cs="Times New Roman"/>
          <w:sz w:val="21"/>
          <w:szCs w:val="21"/>
          <w:highlight w:val="none"/>
          <w:lang w:val="en-US" w:eastAsia="zh-CN" w:bidi="ar-SA"/>
        </w:rPr>
        <w:t>产品</w:t>
      </w:r>
      <w:r>
        <w:rPr>
          <w:rFonts w:hint="eastAsia" w:ascii="宋体" w:eastAsia="宋体" w:cs="Times New Roman"/>
          <w:sz w:val="21"/>
          <w:szCs w:val="21"/>
          <w:highlight w:val="none"/>
          <w:lang w:val="en-US" w:eastAsia="zh-CN" w:bidi="ar-SA"/>
        </w:rPr>
        <w:t>定性需要</w:t>
      </w:r>
      <w:r>
        <w:rPr>
          <w:rFonts w:hint="default" w:ascii="宋体" w:hAnsi="Times New Roman" w:eastAsia="宋体" w:cs="Times New Roman"/>
          <w:sz w:val="21"/>
          <w:szCs w:val="21"/>
          <w:highlight w:val="none"/>
          <w:lang w:val="en-US" w:eastAsia="zh-CN" w:bidi="ar-SA"/>
        </w:rPr>
        <w:t>开展的抽</w:t>
      </w:r>
      <w:r>
        <w:rPr>
          <w:rFonts w:hint="eastAsia" w:ascii="宋体" w:eastAsia="宋体" w:cs="Times New Roman"/>
          <w:sz w:val="21"/>
          <w:szCs w:val="21"/>
          <w:highlight w:val="none"/>
          <w:lang w:val="en-US" w:eastAsia="zh-CN" w:bidi="ar-SA"/>
        </w:rPr>
        <w:t>查</w:t>
      </w:r>
      <w:r>
        <w:rPr>
          <w:rFonts w:hint="default" w:ascii="宋体" w:hAnsi="Times New Roman" w:eastAsia="宋体" w:cs="Times New Roman"/>
          <w:sz w:val="21"/>
          <w:szCs w:val="21"/>
          <w:highlight w:val="none"/>
          <w:lang w:val="en-US" w:eastAsia="zh-CN" w:bidi="ar-SA"/>
        </w:rPr>
        <w:t>检</w:t>
      </w:r>
      <w:r>
        <w:rPr>
          <w:rFonts w:hint="eastAsia" w:ascii="宋体" w:eastAsia="宋体" w:cs="Times New Roman"/>
          <w:sz w:val="21"/>
          <w:szCs w:val="21"/>
          <w:highlight w:val="none"/>
          <w:lang w:val="en-US" w:eastAsia="zh-CN" w:bidi="ar-SA"/>
        </w:rPr>
        <w:t>验</w:t>
      </w:r>
      <w:r>
        <w:rPr>
          <w:rFonts w:hint="eastAsia" w:cs="Times New Roman"/>
          <w:sz w:val="21"/>
          <w:szCs w:val="21"/>
          <w:highlight w:val="none"/>
          <w:lang w:val="en-US" w:eastAsia="zh-CN" w:bidi="ar-SA"/>
        </w:rPr>
        <w:t>。</w:t>
      </w:r>
    </w:p>
    <w:p w14:paraId="33F5DC62">
      <w:pPr>
        <w:pStyle w:val="35"/>
        <w:spacing w:afterLines="0"/>
        <w:rPr>
          <w:rFonts w:hint="default"/>
          <w:lang w:val="en-US" w:eastAsia="zh-CN"/>
        </w:rPr>
      </w:pPr>
      <w:bookmarkStart w:id="284" w:name="_GoBack"/>
      <w:bookmarkEnd w:id="284"/>
    </w:p>
    <w:p w14:paraId="36847C5C">
      <w:pPr>
        <w:pStyle w:val="47"/>
        <w:numPr>
          <w:ilvl w:val="2"/>
          <w:numId w:val="0"/>
        </w:numPr>
        <w:ind w:leftChars="-200" w:firstLine="840" w:firstLineChars="400"/>
        <w:rPr>
          <w:rFonts w:hint="eastAsia" w:ascii="黑体" w:hAnsi="黑体" w:eastAsia="黑体" w:cs="Times New Roman"/>
          <w:sz w:val="21"/>
          <w:highlight w:val="none"/>
          <w:lang w:val="en-US" w:eastAsia="zh-CN" w:bidi="ar-SA"/>
        </w:rPr>
      </w:pPr>
      <w:r>
        <w:rPr>
          <w:rFonts w:hint="eastAsia" w:ascii="黑体" w:hAnsi="黑体" w:eastAsia="黑体"/>
          <w:highlight w:val="none"/>
          <w:lang w:val="en-US" w:eastAsia="zh-CN"/>
        </w:rPr>
        <w:t xml:space="preserve">应急抽检 emergency </w:t>
      </w:r>
      <w:r>
        <w:rPr>
          <w:rFonts w:hint="eastAsia" w:ascii="黑体" w:hAnsi="黑体" w:eastAsia="黑体" w:cs="Times New Roman"/>
          <w:sz w:val="21"/>
          <w:highlight w:val="none"/>
          <w:lang w:eastAsia="zh-CN" w:bidi="ar-SA"/>
        </w:rPr>
        <w:t>sampling inspection</w:t>
      </w:r>
    </w:p>
    <w:p w14:paraId="667171D1">
      <w:pPr>
        <w:pStyle w:val="37"/>
        <w:ind w:firstLine="420"/>
        <w:rPr>
          <w:rFonts w:hint="eastAsia"/>
          <w:lang w:val="en-US" w:eastAsia="zh-CN"/>
        </w:rPr>
      </w:pPr>
      <w:r>
        <w:rPr>
          <w:rFonts w:hint="eastAsia"/>
          <w:lang w:val="en-US" w:eastAsia="zh-CN"/>
        </w:rPr>
        <w:t>针对突发产品质量事件实施的抽查检验。</w:t>
      </w:r>
    </w:p>
    <w:p w14:paraId="3F327BE6">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193" w:name="_Toc1642474245"/>
      <w:bookmarkEnd w:id="193"/>
      <w:bookmarkStart w:id="194" w:name="_Toc1906115254"/>
      <w:bookmarkEnd w:id="194"/>
      <w:bookmarkStart w:id="195" w:name="_Toc122340619"/>
      <w:bookmarkEnd w:id="195"/>
    </w:p>
    <w:p w14:paraId="1217F9D5">
      <w:pPr>
        <w:pStyle w:val="37"/>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风险监测抽检</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r</w:t>
      </w:r>
      <w:r>
        <w:rPr>
          <w:rFonts w:hint="default" w:ascii="黑体" w:hAnsi="黑体" w:eastAsia="黑体" w:cs="Times New Roman"/>
          <w:sz w:val="21"/>
          <w:highlight w:val="none"/>
          <w:lang w:eastAsia="zh-CN" w:bidi="ar-SA"/>
        </w:rPr>
        <w:t>isk monitoring random sampl</w:t>
      </w:r>
      <w:r>
        <w:rPr>
          <w:rFonts w:hint="eastAsia" w:ascii="黑体" w:hAnsi="黑体" w:eastAsia="黑体" w:cs="Times New Roman"/>
          <w:sz w:val="21"/>
          <w:highlight w:val="none"/>
          <w:lang w:val="en-US" w:eastAsia="zh-Hans" w:bidi="ar-SA"/>
        </w:rPr>
        <w:t>ing</w:t>
      </w:r>
      <w:r>
        <w:rPr>
          <w:rFonts w:hint="default" w:ascii="黑体" w:hAnsi="黑体" w:eastAsia="黑体" w:cs="Times New Roman"/>
          <w:sz w:val="21"/>
          <w:highlight w:val="none"/>
          <w:lang w:eastAsia="zh-CN" w:bidi="ar-SA"/>
        </w:rPr>
        <w:t xml:space="preserve"> inspection</w:t>
      </w:r>
    </w:p>
    <w:p w14:paraId="39DA9F6E">
      <w:pPr>
        <w:pStyle w:val="47"/>
        <w:numPr>
          <w:ilvl w:val="2"/>
          <w:numId w:val="0"/>
        </w:numPr>
        <w:ind w:firstLine="420" w:firstLineChars="200"/>
        <w:rPr>
          <w:sz w:val="21"/>
          <w:szCs w:val="21"/>
          <w:highlight w:val="none"/>
        </w:rPr>
      </w:pPr>
      <w:r>
        <w:rPr>
          <w:sz w:val="21"/>
          <w:szCs w:val="21"/>
          <w:highlight w:val="none"/>
        </w:rPr>
        <w:t>药品监督管理部门针对监管中发现质量隐患较大的</w:t>
      </w:r>
      <w:r>
        <w:rPr>
          <w:rFonts w:hint="eastAsia"/>
          <w:sz w:val="21"/>
          <w:szCs w:val="21"/>
          <w:highlight w:val="none"/>
          <w:lang w:val="en-US" w:eastAsia="zh-CN"/>
        </w:rPr>
        <w:t>产</w:t>
      </w:r>
      <w:r>
        <w:rPr>
          <w:sz w:val="21"/>
          <w:szCs w:val="21"/>
          <w:highlight w:val="none"/>
        </w:rPr>
        <w:t>品和项目，应用法定</w:t>
      </w:r>
      <w:r>
        <w:rPr>
          <w:rFonts w:hint="eastAsia"/>
          <w:sz w:val="21"/>
          <w:szCs w:val="21"/>
          <w:highlight w:val="none"/>
          <w:lang w:val="en-US" w:eastAsia="zh-CN"/>
        </w:rPr>
        <w:t>产</w:t>
      </w:r>
      <w:r>
        <w:rPr>
          <w:sz w:val="21"/>
          <w:szCs w:val="21"/>
          <w:highlight w:val="none"/>
        </w:rPr>
        <w:t>品标准以外的检验项目和检测方法进行探索性研究和分析，为发现</w:t>
      </w:r>
      <w:r>
        <w:rPr>
          <w:rFonts w:hint="eastAsia"/>
          <w:sz w:val="21"/>
          <w:szCs w:val="21"/>
          <w:highlight w:val="none"/>
          <w:lang w:val="en-US" w:eastAsia="zh-CN"/>
        </w:rPr>
        <w:t>产</w:t>
      </w:r>
      <w:r>
        <w:rPr>
          <w:sz w:val="21"/>
          <w:szCs w:val="21"/>
          <w:highlight w:val="none"/>
        </w:rPr>
        <w:t>品潜在质量风险和问题而开展的抽查检验。</w:t>
      </w:r>
    </w:p>
    <w:p w14:paraId="491B5D6F">
      <w:pPr>
        <w:pStyle w:val="36"/>
        <w:widowControl w:val="0"/>
        <w:autoSpaceDE/>
        <w:autoSpaceDN/>
        <w:spacing w:afterLines="0"/>
        <w:ind w:hangingChars="200"/>
        <w:rPr>
          <w:rFonts w:hint="eastAsia" w:hAnsi="黑体" w:cs="Times New Roman"/>
          <w:sz w:val="21"/>
          <w:szCs w:val="20"/>
          <w:highlight w:val="none"/>
          <w:lang w:val="en-US" w:eastAsia="zh-CN" w:bidi="ar-SA"/>
        </w:rPr>
      </w:pPr>
    </w:p>
    <w:p w14:paraId="1B69F07A">
      <w:pPr>
        <w:pStyle w:val="36"/>
        <w:widowControl w:val="0"/>
        <w:numPr>
          <w:ilvl w:val="-1"/>
          <w:numId w:val="0"/>
        </w:numPr>
        <w:autoSpaceDE/>
        <w:autoSpaceDN/>
        <w:spacing w:afterLines="0"/>
        <w:ind w:leftChars="-200" w:firstLine="840" w:firstLineChars="400"/>
        <w:rPr>
          <w:rFonts w:hint="eastAsia" w:ascii="黑体" w:hAnsi="黑体" w:eastAsia="黑体" w:cs="Times New Roman"/>
          <w:sz w:val="21"/>
          <w:szCs w:val="20"/>
          <w:highlight w:val="none"/>
          <w:lang w:val="en-US" w:eastAsia="zh-CN" w:bidi="ar-SA"/>
        </w:rPr>
      </w:pPr>
      <w:r>
        <w:rPr>
          <w:rFonts w:hint="eastAsia" w:ascii="黑体" w:hAnsi="黑体" w:eastAsia="黑体" w:cs="Times New Roman"/>
          <w:sz w:val="21"/>
          <w:szCs w:val="20"/>
          <w:highlight w:val="none"/>
          <w:lang w:val="en-US" w:eastAsia="zh-CN" w:bidi="ar-SA"/>
        </w:rPr>
        <w:t>随机抽样</w:t>
      </w:r>
      <w:r>
        <w:rPr>
          <w:rFonts w:hint="eastAsia" w:hAnsi="黑体" w:cs="Times New Roman"/>
          <w:sz w:val="21"/>
          <w:szCs w:val="20"/>
          <w:highlight w:val="none"/>
          <w:lang w:val="en-US" w:eastAsia="zh-CN" w:bidi="ar-SA"/>
        </w:rPr>
        <w:t xml:space="preserve"> random sampling</w:t>
      </w:r>
    </w:p>
    <w:p w14:paraId="53F1CC2B">
      <w:pPr>
        <w:pStyle w:val="37"/>
        <w:rPr>
          <w:rFonts w:hint="default" w:ascii="宋体" w:hAnsi="Times New Roman" w:eastAsia="宋体" w:cs="Times New Roman"/>
          <w:sz w:val="21"/>
          <w:szCs w:val="21"/>
          <w:highlight w:val="none"/>
          <w:lang w:val="en-US" w:eastAsia="zh-CN" w:bidi="ar-SA"/>
        </w:rPr>
      </w:pPr>
      <w:r>
        <w:rPr>
          <w:rFonts w:hint="default" w:ascii="宋体" w:hAnsi="Times New Roman" w:eastAsia="宋体" w:cs="Times New Roman"/>
          <w:sz w:val="21"/>
          <w:szCs w:val="21"/>
          <w:highlight w:val="none"/>
          <w:lang w:val="en-US" w:eastAsia="zh-CN" w:bidi="ar-SA"/>
        </w:rPr>
        <w:t>按照特定抽样原则，从总样</w:t>
      </w:r>
      <w:r>
        <w:rPr>
          <w:rFonts w:hint="eastAsia" w:cs="Times New Roman"/>
          <w:sz w:val="21"/>
          <w:szCs w:val="21"/>
          <w:highlight w:val="none"/>
          <w:lang w:val="en-US" w:eastAsia="zh-CN" w:bidi="ar-SA"/>
        </w:rPr>
        <w:t>品基数</w:t>
      </w:r>
      <w:r>
        <w:rPr>
          <w:rFonts w:hint="default" w:ascii="宋体" w:hAnsi="Times New Roman" w:eastAsia="宋体" w:cs="Times New Roman"/>
          <w:sz w:val="21"/>
          <w:szCs w:val="21"/>
          <w:highlight w:val="none"/>
          <w:lang w:val="en-US" w:eastAsia="zh-CN" w:bidi="ar-SA"/>
        </w:rPr>
        <w:t>中按机会均等的原则抽</w:t>
      </w:r>
      <w:r>
        <w:rPr>
          <w:rFonts w:hint="eastAsia" w:cs="Times New Roman"/>
          <w:sz w:val="21"/>
          <w:szCs w:val="21"/>
          <w:highlight w:val="none"/>
          <w:lang w:val="en-US" w:eastAsia="zh-CN" w:bidi="ar-SA"/>
        </w:rPr>
        <w:t>取</w:t>
      </w:r>
      <w:r>
        <w:rPr>
          <w:rFonts w:hint="default" w:ascii="宋体" w:hAnsi="Times New Roman" w:eastAsia="宋体" w:cs="Times New Roman"/>
          <w:sz w:val="21"/>
          <w:szCs w:val="21"/>
          <w:highlight w:val="none"/>
          <w:lang w:val="en-US" w:eastAsia="zh-CN" w:bidi="ar-SA"/>
        </w:rPr>
        <w:t>样</w:t>
      </w:r>
      <w:r>
        <w:rPr>
          <w:rFonts w:hint="eastAsia" w:cs="Times New Roman"/>
          <w:sz w:val="21"/>
          <w:szCs w:val="21"/>
          <w:highlight w:val="none"/>
          <w:lang w:val="en-US" w:eastAsia="zh-CN" w:bidi="ar-SA"/>
        </w:rPr>
        <w:t>品</w:t>
      </w:r>
      <w:r>
        <w:rPr>
          <w:rFonts w:hint="default" w:ascii="宋体" w:hAnsi="Times New Roman" w:eastAsia="宋体" w:cs="Times New Roman"/>
          <w:sz w:val="21"/>
          <w:szCs w:val="21"/>
          <w:highlight w:val="none"/>
          <w:lang w:val="en-US" w:eastAsia="zh-CN" w:bidi="ar-SA"/>
        </w:rPr>
        <w:t>的抽样方法。</w:t>
      </w:r>
    </w:p>
    <w:p w14:paraId="70B0D960">
      <w:pPr>
        <w:pStyle w:val="54"/>
        <w:numPr>
          <w:ilvl w:val="0"/>
          <w:numId w:val="34"/>
        </w:numPr>
        <w:rPr>
          <w:rFonts w:hint="eastAsia" w:cs="Times New Roman"/>
          <w:sz w:val="18"/>
          <w:szCs w:val="18"/>
          <w:highlight w:val="none"/>
          <w:lang w:val="en-US" w:eastAsia="zh-CN" w:bidi="ar-SA"/>
        </w:rPr>
      </w:pPr>
      <w:r>
        <w:rPr>
          <w:rFonts w:hint="eastAsia" w:cs="Times New Roman"/>
          <w:sz w:val="18"/>
          <w:szCs w:val="18"/>
          <w:highlight w:val="none"/>
          <w:lang w:val="en-US" w:eastAsia="zh-CN" w:bidi="ar-SA"/>
        </w:rPr>
        <w:t>总样品基数中的任何一个样品被选中的概率均等。</w:t>
      </w:r>
    </w:p>
    <w:p w14:paraId="7CC1AA10">
      <w:pPr>
        <w:pStyle w:val="54"/>
        <w:numPr>
          <w:ilvl w:val="0"/>
          <w:numId w:val="34"/>
        </w:numPr>
        <w:rPr>
          <w:rFonts w:hint="default" w:cs="Times New Roman"/>
          <w:sz w:val="21"/>
          <w:szCs w:val="21"/>
          <w:highlight w:val="none"/>
          <w:lang w:val="en-US" w:eastAsia="zh-CN" w:bidi="ar-SA"/>
        </w:rPr>
      </w:pPr>
      <w:r>
        <w:rPr>
          <w:rFonts w:hint="eastAsia" w:ascii="宋体" w:hAnsi="Times New Roman" w:eastAsia="宋体" w:cs="Times New Roman"/>
          <w:i w:val="0"/>
          <w:iCs w:val="0"/>
          <w:caps w:val="0"/>
          <w:spacing w:val="0"/>
          <w:kern w:val="0"/>
          <w:sz w:val="18"/>
          <w:szCs w:val="18"/>
          <w:highlight w:val="none"/>
          <w:u w:val="none"/>
          <w:shd w:val="clear"/>
          <w:lang w:val="en-US" w:eastAsia="zh-CN" w:bidi="ar-SA"/>
        </w:rPr>
        <w:t>根据概率论不仅能够用样本统计量对总体参数进行估计，还能计算出抽样误差，从而得到对总体目标变量进行推断的可靠程度。</w:t>
      </w:r>
    </w:p>
    <w:p w14:paraId="576A9AE2">
      <w:pPr>
        <w:pStyle w:val="36"/>
        <w:widowControl w:val="0"/>
        <w:autoSpaceDE/>
        <w:autoSpaceDN/>
        <w:spacing w:afterLines="0"/>
        <w:ind w:hangingChars="200"/>
        <w:rPr>
          <w:rFonts w:hint="eastAsia" w:ascii="黑体" w:hAnsi="黑体" w:eastAsia="黑体" w:cs="Times New Roman"/>
          <w:sz w:val="21"/>
          <w:szCs w:val="20"/>
          <w:highlight w:val="none"/>
          <w:lang w:val="en-US" w:eastAsia="zh-CN" w:bidi="ar-SA"/>
        </w:rPr>
      </w:pPr>
    </w:p>
    <w:p w14:paraId="5B0E30FA">
      <w:pPr>
        <w:pStyle w:val="36"/>
        <w:widowControl w:val="0"/>
        <w:numPr>
          <w:ilvl w:val="-1"/>
          <w:numId w:val="0"/>
        </w:numPr>
        <w:autoSpaceDE/>
        <w:autoSpaceDN/>
        <w:spacing w:afterLines="0"/>
        <w:ind w:leftChars="-200" w:firstLine="840" w:firstLineChars="400"/>
        <w:rPr>
          <w:rFonts w:hint="eastAsia" w:ascii="黑体" w:hAnsi="黑体" w:eastAsia="黑体" w:cs="Times New Roman"/>
          <w:sz w:val="21"/>
          <w:szCs w:val="20"/>
          <w:highlight w:val="none"/>
          <w:lang w:val="en-US" w:eastAsia="zh-CN" w:bidi="ar-SA"/>
        </w:rPr>
      </w:pPr>
      <w:r>
        <w:rPr>
          <w:rFonts w:hint="eastAsia" w:ascii="黑体" w:hAnsi="黑体" w:eastAsia="黑体" w:cs="Times New Roman"/>
          <w:sz w:val="21"/>
          <w:szCs w:val="20"/>
          <w:highlight w:val="none"/>
          <w:lang w:val="en-US" w:eastAsia="zh-CN" w:bidi="ar-SA"/>
        </w:rPr>
        <w:t>非随机抽样</w:t>
      </w:r>
      <w:r>
        <w:rPr>
          <w:rFonts w:hint="eastAsia" w:hAnsi="黑体" w:cs="Times New Roman"/>
          <w:sz w:val="21"/>
          <w:szCs w:val="20"/>
          <w:highlight w:val="none"/>
          <w:lang w:val="en-US" w:eastAsia="zh-CN" w:bidi="ar-SA"/>
        </w:rPr>
        <w:t xml:space="preserve"> </w:t>
      </w:r>
      <w:r>
        <w:rPr>
          <w:rFonts w:hint="default" w:hAnsi="黑体" w:cs="Times New Roman"/>
          <w:sz w:val="21"/>
          <w:szCs w:val="20"/>
          <w:highlight w:val="none"/>
          <w:lang w:val="en-US" w:eastAsia="zh-CN" w:bidi="ar-SA"/>
        </w:rPr>
        <w:t>non-</w:t>
      </w:r>
      <w:r>
        <w:rPr>
          <w:rFonts w:hint="eastAsia" w:hAnsi="黑体" w:cs="Times New Roman"/>
          <w:sz w:val="21"/>
          <w:szCs w:val="20"/>
          <w:highlight w:val="none"/>
          <w:lang w:val="en-US" w:eastAsia="zh-CN" w:bidi="ar-SA"/>
        </w:rPr>
        <w:t>random sampling</w:t>
      </w:r>
    </w:p>
    <w:p w14:paraId="01421B27">
      <w:pPr>
        <w:keepNext w:val="0"/>
        <w:keepLines w:val="0"/>
        <w:widowControl/>
        <w:ind w:firstLine="420" w:firstLineChars="200"/>
        <w:jc w:val="left"/>
        <w:rPr>
          <w:rFonts w:hint="default"/>
          <w:lang w:val="en-US"/>
        </w:rPr>
      </w:pPr>
      <w:r>
        <w:rPr>
          <w:rFonts w:hint="eastAsia" w:ascii="宋体" w:hAnsi="Times New Roman" w:eastAsia="宋体" w:cs="Times New Roman"/>
          <w:i w:val="0"/>
          <w:iCs w:val="0"/>
          <w:caps w:val="0"/>
          <w:spacing w:val="0"/>
          <w:kern w:val="0"/>
          <w:sz w:val="21"/>
          <w:szCs w:val="21"/>
          <w:highlight w:val="none"/>
          <w:u w:val="none"/>
          <w:shd w:val="clear"/>
          <w:lang w:val="en-US" w:eastAsia="zh-CN" w:bidi="ar-SA"/>
        </w:rPr>
        <w:t>遇质量可疑</w:t>
      </w:r>
      <w:r>
        <w:rPr>
          <w:rFonts w:hint="eastAsia" w:ascii="宋体" w:hAnsi="Times New Roman" w:cs="Times New Roman"/>
          <w:i w:val="0"/>
          <w:iCs w:val="0"/>
          <w:caps w:val="0"/>
          <w:spacing w:val="0"/>
          <w:kern w:val="0"/>
          <w:sz w:val="21"/>
          <w:szCs w:val="21"/>
          <w:highlight w:val="none"/>
          <w:u w:val="none"/>
          <w:shd w:val="clear"/>
          <w:lang w:val="en-US" w:eastAsia="zh-CN" w:bidi="ar-SA"/>
        </w:rPr>
        <w:t>、</w:t>
      </w:r>
      <w:r>
        <w:rPr>
          <w:rFonts w:hint="eastAsia" w:ascii="宋体" w:hAnsi="Times New Roman" w:eastAsia="宋体" w:cs="Times New Roman"/>
          <w:i w:val="0"/>
          <w:iCs w:val="0"/>
          <w:caps w:val="0"/>
          <w:spacing w:val="0"/>
          <w:kern w:val="0"/>
          <w:sz w:val="21"/>
          <w:szCs w:val="21"/>
          <w:highlight w:val="none"/>
          <w:u w:val="none"/>
          <w:shd w:val="clear"/>
          <w:lang w:val="en-US" w:eastAsia="zh-CN" w:bidi="ar-SA"/>
        </w:rPr>
        <w:t>存在违法</w:t>
      </w:r>
      <w:r>
        <w:rPr>
          <w:rFonts w:hint="eastAsia" w:ascii="宋体" w:hAnsi="Times New Roman" w:cs="Times New Roman"/>
          <w:i w:val="0"/>
          <w:iCs w:val="0"/>
          <w:caps w:val="0"/>
          <w:spacing w:val="0"/>
          <w:kern w:val="0"/>
          <w:sz w:val="21"/>
          <w:szCs w:val="21"/>
          <w:highlight w:val="none"/>
          <w:u w:val="none"/>
          <w:shd w:val="clear"/>
          <w:lang w:val="en-US" w:eastAsia="zh-CN" w:bidi="ar-SA"/>
        </w:rPr>
        <w:t>违规等特殊情形</w:t>
      </w:r>
      <w:r>
        <w:rPr>
          <w:rFonts w:hint="eastAsia" w:ascii="宋体" w:hAnsi="Times New Roman" w:eastAsia="宋体" w:cs="Times New Roman"/>
          <w:i w:val="0"/>
          <w:iCs w:val="0"/>
          <w:caps w:val="0"/>
          <w:spacing w:val="0"/>
          <w:kern w:val="0"/>
          <w:sz w:val="21"/>
          <w:szCs w:val="21"/>
          <w:highlight w:val="none"/>
          <w:u w:val="none"/>
          <w:shd w:val="clear"/>
          <w:lang w:val="en-US" w:eastAsia="zh-CN" w:bidi="ar-SA"/>
        </w:rPr>
        <w:t>时，现场指定批次</w:t>
      </w:r>
      <w:r>
        <w:rPr>
          <w:rFonts w:hint="eastAsia" w:ascii="宋体" w:hAnsi="Times New Roman" w:cs="Times New Roman"/>
          <w:i w:val="0"/>
          <w:iCs w:val="0"/>
          <w:caps w:val="0"/>
          <w:spacing w:val="0"/>
          <w:kern w:val="0"/>
          <w:sz w:val="21"/>
          <w:szCs w:val="21"/>
          <w:highlight w:val="none"/>
          <w:u w:val="none"/>
          <w:shd w:val="clear"/>
          <w:lang w:val="en-US" w:eastAsia="zh-CN" w:bidi="ar-SA"/>
        </w:rPr>
        <w:t>并</w:t>
      </w:r>
      <w:r>
        <w:rPr>
          <w:rFonts w:ascii="宋体" w:hAnsi="Times New Roman" w:eastAsia="宋体" w:cs="Times New Roman"/>
          <w:i w:val="0"/>
          <w:iCs w:val="0"/>
          <w:caps w:val="0"/>
          <w:spacing w:val="0"/>
          <w:kern w:val="0"/>
          <w:sz w:val="21"/>
          <w:szCs w:val="21"/>
          <w:highlight w:val="none"/>
          <w:u w:val="none"/>
          <w:shd w:val="clear"/>
          <w:lang w:val="en-US" w:eastAsia="zh-CN" w:bidi="ar-SA"/>
        </w:rPr>
        <w:t>确定抽取样品</w:t>
      </w:r>
      <w:r>
        <w:rPr>
          <w:rFonts w:hint="default" w:ascii="宋体" w:hAnsi="Times New Roman" w:cs="Times New Roman"/>
          <w:i w:val="0"/>
          <w:iCs w:val="0"/>
          <w:caps w:val="0"/>
          <w:spacing w:val="0"/>
          <w:kern w:val="0"/>
          <w:sz w:val="21"/>
          <w:szCs w:val="21"/>
          <w:highlight w:val="none"/>
          <w:u w:val="none"/>
          <w:shd w:val="clear"/>
          <w:lang w:val="en-US" w:eastAsia="zh-CN" w:bidi="ar-SA"/>
        </w:rPr>
        <w:t>对象</w:t>
      </w:r>
      <w:r>
        <w:rPr>
          <w:rFonts w:ascii="宋体" w:hAnsi="Times New Roman" w:eastAsia="宋体" w:cs="Times New Roman"/>
          <w:i w:val="0"/>
          <w:iCs w:val="0"/>
          <w:caps w:val="0"/>
          <w:spacing w:val="0"/>
          <w:kern w:val="0"/>
          <w:sz w:val="21"/>
          <w:szCs w:val="21"/>
          <w:highlight w:val="none"/>
          <w:u w:val="none"/>
          <w:shd w:val="clear"/>
          <w:lang w:val="en-US" w:eastAsia="zh-CN" w:bidi="ar-SA"/>
        </w:rPr>
        <w:t>的抽样方法。</w:t>
      </w:r>
    </w:p>
    <w:p w14:paraId="26F0CDCF">
      <w:pPr>
        <w:pStyle w:val="54"/>
        <w:numPr>
          <w:ilvl w:val="0"/>
          <w:numId w:val="35"/>
        </w:numPr>
        <w:rPr>
          <w:rFonts w:hint="default"/>
          <w:lang w:val="en-US" w:eastAsia="zh-CN"/>
        </w:rPr>
      </w:pPr>
      <w:r>
        <w:rPr>
          <w:rFonts w:hint="eastAsia" w:ascii="宋体" w:hAnsi="Times New Roman" w:eastAsia="宋体" w:cs="Times New Roman"/>
          <w:sz w:val="18"/>
          <w:szCs w:val="18"/>
          <w:highlight w:val="none"/>
          <w:lang w:val="en-US" w:eastAsia="zh-CN" w:bidi="ar-SA"/>
        </w:rPr>
        <w:t>非随机抽样也叫“判断抽样”</w:t>
      </w:r>
      <w:r>
        <w:rPr>
          <w:rFonts w:hint="eastAsia" w:cs="Times New Roman"/>
          <w:sz w:val="18"/>
          <w:szCs w:val="18"/>
          <w:highlight w:val="none"/>
          <w:lang w:val="en-US" w:eastAsia="zh-CN" w:bidi="ar-SA"/>
        </w:rPr>
        <w:t>。</w:t>
      </w:r>
    </w:p>
    <w:p w14:paraId="3F4B495D">
      <w:pPr>
        <w:pStyle w:val="54"/>
        <w:numPr>
          <w:ilvl w:val="0"/>
          <w:numId w:val="35"/>
        </w:numPr>
        <w:rPr>
          <w:rFonts w:hint="default"/>
          <w:lang w:val="en-US" w:eastAsia="zh-CN"/>
        </w:rPr>
      </w:pPr>
      <w:r>
        <w:rPr>
          <w:rFonts w:hint="eastAsia"/>
          <w:sz w:val="18"/>
          <w:szCs w:val="18"/>
          <w:highlight w:val="none"/>
          <w:lang w:val="en-US" w:eastAsia="zh-CN"/>
        </w:rPr>
        <w:t>对特殊情形的判断依赖于相关人员的专业知识、工作经验等</w:t>
      </w:r>
      <w:r>
        <w:rPr>
          <w:rFonts w:hint="eastAsia" w:ascii="宋体" w:hAnsi="Times New Roman" w:eastAsia="宋体"/>
          <w:sz w:val="18"/>
          <w:szCs w:val="18"/>
          <w:highlight w:val="none"/>
        </w:rPr>
        <w:t>。</w:t>
      </w:r>
    </w:p>
    <w:p w14:paraId="516738D7">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196" w:name="_Toc1036933354"/>
      <w:bookmarkEnd w:id="196"/>
      <w:bookmarkStart w:id="197" w:name="_Toc1309837177"/>
      <w:bookmarkEnd w:id="197"/>
      <w:bookmarkStart w:id="198" w:name="_Toc2065511679"/>
      <w:bookmarkEnd w:id="198"/>
    </w:p>
    <w:p w14:paraId="17683F8A">
      <w:pPr>
        <w:pStyle w:val="36"/>
        <w:keepNext w:val="0"/>
        <w:keepLines w:val="0"/>
        <w:pageBreakBefore w:val="0"/>
        <w:widowControl w:val="0"/>
        <w:numPr>
          <w:ilvl w:val="-1"/>
          <w:numId w:val="0"/>
        </w:numPr>
        <w:kinsoku/>
        <w:wordWrap/>
        <w:overflowPunct/>
        <w:topLinePunct w:val="0"/>
        <w:autoSpaceDE/>
        <w:autoSpaceDN/>
        <w:bidi w:val="0"/>
        <w:adjustRightInd/>
        <w:snapToGrid/>
        <w:spacing w:beforeLines="0" w:afterLines="0"/>
        <w:ind w:left="-420" w:leftChars="-200" w:firstLine="840" w:firstLineChars="400"/>
        <w:textAlignment w:val="auto"/>
        <w:rPr>
          <w:rFonts w:hint="default" w:ascii="黑体" w:hAnsi="黑体" w:eastAsia="黑体" w:cs="Times New Roman"/>
          <w:sz w:val="21"/>
          <w:highlight w:val="none"/>
          <w:lang w:eastAsia="zh-CN" w:bidi="ar-SA"/>
        </w:rPr>
      </w:pPr>
      <w:r>
        <w:rPr>
          <w:rFonts w:hint="eastAsia" w:hAnsi="黑体"/>
          <w:highlight w:val="none"/>
          <w:lang w:val="en-US" w:eastAsia="zh-CN"/>
        </w:rPr>
        <w:t xml:space="preserve">专项抽检 </w:t>
      </w:r>
      <w:r>
        <w:rPr>
          <w:rFonts w:hint="eastAsia" w:ascii="黑体" w:hAnsi="黑体" w:eastAsia="黑体" w:cs="Times New Roman"/>
          <w:sz w:val="21"/>
          <w:highlight w:val="none"/>
          <w:lang w:val="en-US" w:eastAsia="zh-Hans" w:bidi="ar-SA"/>
        </w:rPr>
        <w:t>s</w:t>
      </w:r>
      <w:r>
        <w:rPr>
          <w:rFonts w:hint="default" w:ascii="黑体" w:hAnsi="黑体" w:eastAsia="黑体" w:cs="Times New Roman"/>
          <w:sz w:val="21"/>
          <w:highlight w:val="none"/>
          <w:lang w:eastAsia="zh-CN" w:bidi="ar-SA"/>
        </w:rPr>
        <w:t>pecial</w:t>
      </w:r>
      <w:r>
        <w:rPr>
          <w:rFonts w:hint="eastAsia" w:hAnsi="黑体" w:cs="Times New Roman"/>
          <w:sz w:val="21"/>
          <w:highlight w:val="none"/>
          <w:lang w:val="en-US" w:eastAsia="zh-CN" w:bidi="ar-SA"/>
        </w:rPr>
        <w:t xml:space="preserve"> </w:t>
      </w:r>
      <w:r>
        <w:rPr>
          <w:rFonts w:hint="default" w:ascii="黑体" w:hAnsi="黑体" w:eastAsia="黑体" w:cs="Times New Roman"/>
          <w:sz w:val="21"/>
          <w:highlight w:val="none"/>
          <w:lang w:eastAsia="zh-CN" w:bidi="ar-SA"/>
        </w:rPr>
        <w:t>sampl</w:t>
      </w:r>
      <w:r>
        <w:rPr>
          <w:rFonts w:hint="eastAsia" w:ascii="黑体" w:hAnsi="黑体" w:eastAsia="黑体" w:cs="Times New Roman"/>
          <w:sz w:val="21"/>
          <w:highlight w:val="none"/>
          <w:lang w:val="en-US" w:eastAsia="zh-Hans" w:bidi="ar-SA"/>
        </w:rPr>
        <w:t>ing</w:t>
      </w:r>
      <w:r>
        <w:rPr>
          <w:rFonts w:hint="default" w:ascii="黑体" w:hAnsi="黑体" w:eastAsia="黑体" w:cs="Times New Roman"/>
          <w:sz w:val="21"/>
          <w:highlight w:val="none"/>
          <w:lang w:eastAsia="zh-CN" w:bidi="ar-SA"/>
        </w:rPr>
        <w:t xml:space="preserve"> inspection</w:t>
      </w:r>
    </w:p>
    <w:p w14:paraId="3A9BF91E">
      <w:pPr>
        <w:pStyle w:val="36"/>
        <w:numPr>
          <w:ilvl w:val="-1"/>
          <w:numId w:val="0"/>
        </w:numPr>
        <w:autoSpaceDE/>
        <w:autoSpaceDN/>
        <w:spacing w:beforeLines="0" w:afterLines="0"/>
        <w:ind w:left="-420" w:leftChars="-200" w:firstLine="840" w:firstLineChars="400"/>
        <w:rPr>
          <w:rFonts w:hint="eastAsia" w:ascii="黑体" w:hAnsi="黑体" w:eastAsia="黑体" w:cs="Times New Roman"/>
          <w:sz w:val="21"/>
          <w:szCs w:val="20"/>
          <w:highlight w:val="none"/>
          <w:lang w:val="en-US" w:eastAsia="zh-CN" w:bidi="ar-SA"/>
        </w:rPr>
      </w:pPr>
      <w:r>
        <w:rPr>
          <w:rFonts w:hint="eastAsia" w:ascii="宋体" w:eastAsia="宋体" w:cs="Times New Roman"/>
          <w:sz w:val="21"/>
          <w:szCs w:val="21"/>
          <w:highlight w:val="none"/>
          <w:lang w:val="en-US" w:eastAsia="zh-CN" w:bidi="ar-SA"/>
        </w:rPr>
        <w:t>为了解特定风险与问题，针对</w:t>
      </w:r>
      <w:r>
        <w:rPr>
          <w:rFonts w:hint="default" w:ascii="宋体" w:hAnsi="Times New Roman" w:eastAsia="宋体" w:cs="Times New Roman"/>
          <w:sz w:val="21"/>
          <w:szCs w:val="21"/>
          <w:highlight w:val="none"/>
          <w:lang w:val="en-US" w:eastAsia="zh-CN" w:bidi="ar-SA"/>
        </w:rPr>
        <w:t>特定产品品类开展的抽</w:t>
      </w:r>
      <w:r>
        <w:rPr>
          <w:rFonts w:hint="eastAsia" w:ascii="宋体" w:eastAsia="宋体" w:cs="Times New Roman"/>
          <w:sz w:val="21"/>
          <w:szCs w:val="21"/>
          <w:highlight w:val="none"/>
          <w:lang w:val="en-US" w:eastAsia="zh-CN" w:bidi="ar-SA"/>
        </w:rPr>
        <w:t>查检验</w:t>
      </w:r>
      <w:r>
        <w:rPr>
          <w:rFonts w:hint="default" w:ascii="宋体" w:hAnsi="Times New Roman" w:eastAsia="宋体" w:cs="Times New Roman"/>
          <w:sz w:val="21"/>
          <w:szCs w:val="21"/>
          <w:highlight w:val="none"/>
          <w:lang w:val="en-US" w:eastAsia="zh-CN" w:bidi="ar-SA"/>
        </w:rPr>
        <w:t>。</w:t>
      </w:r>
    </w:p>
    <w:p w14:paraId="02A6E5E2">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199" w:name="_Toc578568442"/>
      <w:bookmarkEnd w:id="199"/>
      <w:bookmarkStart w:id="200" w:name="_Toc909085273"/>
      <w:bookmarkEnd w:id="200"/>
      <w:bookmarkStart w:id="201" w:name="_Toc981635198"/>
      <w:bookmarkEnd w:id="201"/>
    </w:p>
    <w:p w14:paraId="3F68103C">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针对性抽样</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t</w:t>
      </w:r>
      <w:r>
        <w:rPr>
          <w:rFonts w:hint="default" w:ascii="黑体" w:hAnsi="黑体" w:eastAsia="黑体" w:cs="Times New Roman"/>
          <w:sz w:val="21"/>
          <w:highlight w:val="none"/>
          <w:lang w:eastAsia="zh-CN" w:bidi="ar-SA"/>
        </w:rPr>
        <w:t>argeted sampling</w:t>
      </w:r>
    </w:p>
    <w:p w14:paraId="741E6432">
      <w:pPr>
        <w:pStyle w:val="37"/>
        <w:ind w:left="0" w:firstLine="420" w:firstLineChars="200"/>
        <w:rPr>
          <w:rFonts w:hint="eastAsia" w:ascii="宋体" w:eastAsia="宋体" w:cs="Times New Roman"/>
          <w:szCs w:val="18"/>
          <w:highlight w:val="none"/>
          <w:lang w:val="en-US" w:eastAsia="zh-CN"/>
        </w:rPr>
      </w:pPr>
      <w:r>
        <w:rPr>
          <w:rFonts w:hint="default" w:ascii="宋体" w:eastAsia="宋体" w:cs="Times New Roman"/>
          <w:szCs w:val="21"/>
          <w:highlight w:val="none"/>
          <w:lang w:val="en-US" w:eastAsia="zh-CN"/>
        </w:rPr>
        <w:t>现场检查发现可能存在影响产品质量的重大问题或者其他违法违规行为时，开展的临时性</w:t>
      </w:r>
      <w:r>
        <w:rPr>
          <w:rFonts w:hint="eastAsia" w:cs="Times New Roman"/>
          <w:szCs w:val="21"/>
          <w:highlight w:val="none"/>
          <w:lang w:val="en-US" w:eastAsia="zh-CN"/>
        </w:rPr>
        <w:t>、非随机</w:t>
      </w:r>
      <w:r>
        <w:rPr>
          <w:rFonts w:hint="default" w:ascii="宋体" w:eastAsia="宋体" w:cs="Times New Roman"/>
          <w:szCs w:val="21"/>
          <w:highlight w:val="none"/>
          <w:lang w:val="en-US" w:eastAsia="zh-CN"/>
        </w:rPr>
        <w:t>抽样。</w:t>
      </w:r>
    </w:p>
    <w:p w14:paraId="730A4FCF">
      <w:pPr>
        <w:pStyle w:val="36"/>
        <w:widowControl w:val="0"/>
        <w:autoSpaceDE/>
        <w:autoSpaceDN/>
        <w:spacing w:afterLines="0"/>
        <w:ind w:hangingChars="200"/>
        <w:rPr>
          <w:rFonts w:hint="eastAsia"/>
          <w:lang w:val="en-US" w:eastAsia="zh-CN"/>
        </w:rPr>
      </w:pPr>
      <w:bookmarkStart w:id="202" w:name="_Toc1797518553"/>
      <w:bookmarkEnd w:id="202"/>
      <w:bookmarkStart w:id="203" w:name="_Toc1373396532"/>
      <w:bookmarkEnd w:id="203"/>
      <w:bookmarkStart w:id="204" w:name="_Toc193851078"/>
      <w:bookmarkEnd w:id="204"/>
    </w:p>
    <w:p w14:paraId="528B37BC">
      <w:pPr>
        <w:pStyle w:val="37"/>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批 batch</w:t>
      </w:r>
    </w:p>
    <w:p w14:paraId="16B5DA5B">
      <w:pPr>
        <w:pStyle w:val="37"/>
        <w:ind w:firstLine="420"/>
        <w:rPr>
          <w:rFonts w:hint="eastAsia"/>
          <w:highlight w:val="none"/>
          <w:lang w:val="en-US" w:eastAsia="zh-CN"/>
        </w:rPr>
      </w:pPr>
      <w:r>
        <w:rPr>
          <w:rFonts w:hint="eastAsia"/>
          <w:highlight w:val="none"/>
          <w:lang w:val="en-US" w:eastAsia="zh-CN"/>
        </w:rPr>
        <w:t>在规定限度内具有同一性质和质量，并在同一连续生产周期中生产出来的一定数量的产品。</w:t>
      </w:r>
    </w:p>
    <w:p w14:paraId="06821BD5">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05" w:name="_Toc1521275368"/>
      <w:bookmarkEnd w:id="205"/>
      <w:bookmarkStart w:id="206" w:name="_Toc94374275"/>
      <w:bookmarkEnd w:id="206"/>
      <w:bookmarkStart w:id="207" w:name="_Toc322375447"/>
      <w:bookmarkEnd w:id="207"/>
    </w:p>
    <w:p w14:paraId="3F815A3A">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批号 batch number</w:t>
      </w:r>
    </w:p>
    <w:p w14:paraId="259A72AE">
      <w:pPr>
        <w:pStyle w:val="37"/>
        <w:ind w:firstLine="420"/>
        <w:rPr>
          <w:rFonts w:hint="eastAsia" w:ascii="黑体" w:hAnsi="黑体" w:eastAsia="黑体" w:cs="Times New Roman"/>
          <w:sz w:val="21"/>
          <w:highlight w:val="none"/>
          <w:lang w:val="en-US" w:eastAsia="zh-CN" w:bidi="ar-SA"/>
        </w:rPr>
      </w:pPr>
      <w:r>
        <w:rPr>
          <w:rFonts w:hint="eastAsia"/>
          <w:highlight w:val="none"/>
          <w:lang w:val="en-US" w:eastAsia="zh-CN"/>
        </w:rPr>
        <w:t>用于识别“批”的一组数字或者字母加数字。</w:t>
      </w:r>
    </w:p>
    <w:p w14:paraId="6C087659">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08" w:name="_Toc134808794"/>
      <w:bookmarkEnd w:id="208"/>
      <w:bookmarkStart w:id="209" w:name="_Toc1305508439"/>
      <w:bookmarkEnd w:id="209"/>
      <w:bookmarkStart w:id="210" w:name="_Toc62896348"/>
      <w:bookmarkEnd w:id="210"/>
    </w:p>
    <w:p w14:paraId="02B85CF8">
      <w:pPr>
        <w:pStyle w:val="47"/>
        <w:numPr>
          <w:ilvl w:val="2"/>
          <w:numId w:val="0"/>
        </w:numPr>
        <w:ind w:leftChars="-200" w:firstLine="840" w:firstLineChars="400"/>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 xml:space="preserve">抽样批 </w:t>
      </w:r>
      <w:r>
        <w:rPr>
          <w:rFonts w:hint="default" w:ascii="黑体" w:hAnsi="黑体" w:eastAsia="黑体" w:cs="Times New Roman"/>
          <w:kern w:val="0"/>
          <w:sz w:val="21"/>
          <w:szCs w:val="20"/>
          <w:highlight w:val="none"/>
          <w:lang w:val="en-US" w:eastAsia="zh-CN" w:bidi="ar-SA"/>
        </w:rPr>
        <w:t>sampling</w:t>
      </w:r>
      <w:r>
        <w:rPr>
          <w:rFonts w:hint="eastAsia" w:ascii="黑体" w:hAnsi="黑体" w:eastAsia="黑体" w:cs="Times New Roman"/>
          <w:kern w:val="0"/>
          <w:sz w:val="21"/>
          <w:szCs w:val="20"/>
          <w:highlight w:val="none"/>
          <w:lang w:val="en-US" w:eastAsia="zh-CN" w:bidi="ar-SA"/>
        </w:rPr>
        <w:t xml:space="preserve"> </w:t>
      </w:r>
      <w:r>
        <w:rPr>
          <w:rFonts w:hint="eastAsia" w:ascii="黑体" w:hAnsi="黑体" w:eastAsia="黑体" w:cs="Times New Roman"/>
          <w:sz w:val="21"/>
          <w:highlight w:val="none"/>
          <w:lang w:val="en-US" w:eastAsia="zh-CN" w:bidi="ar-SA"/>
        </w:rPr>
        <w:t>batch</w:t>
      </w:r>
    </w:p>
    <w:p w14:paraId="3B2EB3AB">
      <w:pPr>
        <w:pStyle w:val="37"/>
        <w:rPr>
          <w:rFonts w:hint="eastAsia" w:ascii="黑体" w:hAnsi="黑体" w:eastAsia="黑体" w:cs="Times New Roman"/>
          <w:sz w:val="21"/>
          <w:highlight w:val="none"/>
          <w:lang w:val="en-US" w:eastAsia="zh-CN" w:bidi="ar-SA"/>
        </w:rPr>
      </w:pPr>
      <w:r>
        <w:rPr>
          <w:rFonts w:hint="eastAsia"/>
          <w:highlight w:val="none"/>
          <w:lang w:val="en-US" w:eastAsia="zh-CN"/>
        </w:rPr>
        <w:t>施行抽样的一批产品。</w:t>
      </w:r>
    </w:p>
    <w:p w14:paraId="1C35A923">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11" w:name="_Toc536966512"/>
      <w:bookmarkEnd w:id="211"/>
      <w:bookmarkStart w:id="212" w:name="_Toc839912874"/>
      <w:bookmarkEnd w:id="212"/>
      <w:bookmarkStart w:id="213" w:name="_Toc136153173"/>
      <w:bookmarkEnd w:id="213"/>
    </w:p>
    <w:p w14:paraId="4573F4E4">
      <w:pPr>
        <w:pStyle w:val="47"/>
        <w:numPr>
          <w:ilvl w:val="2"/>
          <w:numId w:val="0"/>
        </w:numPr>
        <w:ind w:leftChars="-200" w:firstLine="840" w:firstLineChars="400"/>
        <w:rPr>
          <w:rFonts w:hint="eastAsia"/>
          <w:highlight w:val="none"/>
          <w:lang w:val="en-US" w:eastAsia="zh-CN"/>
        </w:rPr>
      </w:pPr>
      <w:r>
        <w:rPr>
          <w:rFonts w:hint="eastAsia" w:ascii="黑体" w:hAnsi="黑体" w:eastAsia="黑体" w:cs="Times New Roman"/>
          <w:sz w:val="21"/>
          <w:highlight w:val="none"/>
          <w:lang w:val="en-US" w:eastAsia="zh-CN" w:bidi="ar-SA"/>
        </w:rPr>
        <w:t>包装件</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p</w:t>
      </w:r>
      <w:r>
        <w:rPr>
          <w:rFonts w:hint="default" w:ascii="黑体" w:hAnsi="黑体" w:eastAsia="黑体" w:cs="Times New Roman"/>
          <w:sz w:val="21"/>
          <w:highlight w:val="none"/>
          <w:lang w:eastAsia="zh-CN" w:bidi="ar-SA"/>
        </w:rPr>
        <w:t>ackag</w:t>
      </w:r>
      <w:r>
        <w:rPr>
          <w:rFonts w:hint="eastAsia" w:ascii="黑体" w:hAnsi="黑体" w:eastAsia="黑体" w:cs="Times New Roman"/>
          <w:sz w:val="21"/>
          <w:highlight w:val="none"/>
          <w:lang w:val="en-US" w:eastAsia="zh-Hans" w:bidi="ar-SA"/>
        </w:rPr>
        <w:t>e</w:t>
      </w:r>
      <w:r>
        <w:rPr>
          <w:rFonts w:hint="eastAsia"/>
          <w:highlight w:val="none"/>
          <w:lang w:val="en-US" w:eastAsia="zh-CN"/>
        </w:rPr>
        <w:br w:type="textWrapping"/>
      </w:r>
      <w:r>
        <w:rPr>
          <w:rFonts w:hint="eastAsia" w:ascii="宋体" w:eastAsia="宋体"/>
          <w:highlight w:val="none"/>
          <w:lang w:val="en-US" w:eastAsia="zh-CN"/>
        </w:rPr>
        <w:t>　　    库存的或者货架上的可直接被清点、搬运及堆放的</w:t>
      </w:r>
      <w:r>
        <w:rPr>
          <w:rFonts w:hint="eastAsia"/>
          <w:highlight w:val="none"/>
          <w:lang w:val="en-US" w:eastAsia="zh-CN"/>
        </w:rPr>
        <w:t>产</w:t>
      </w:r>
      <w:r>
        <w:rPr>
          <w:rFonts w:hint="eastAsia" w:ascii="宋体" w:eastAsia="宋体"/>
          <w:highlight w:val="none"/>
          <w:lang w:val="en-US" w:eastAsia="zh-CN"/>
        </w:rPr>
        <w:t>品包装单位。</w:t>
      </w:r>
    </w:p>
    <w:p w14:paraId="78D5066B">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14" w:name="_Toc1005661587"/>
      <w:bookmarkEnd w:id="214"/>
      <w:bookmarkStart w:id="215" w:name="_Toc1256294556"/>
      <w:bookmarkEnd w:id="215"/>
      <w:bookmarkStart w:id="216" w:name="_Toc1069882490"/>
      <w:bookmarkEnd w:id="216"/>
    </w:p>
    <w:p w14:paraId="0A2E6101">
      <w:pPr>
        <w:pStyle w:val="47"/>
        <w:numPr>
          <w:ilvl w:val="2"/>
          <w:numId w:val="0"/>
        </w:numPr>
        <w:ind w:leftChars="-200" w:firstLine="840" w:firstLineChars="400"/>
        <w:rPr>
          <w:rFonts w:hint="eastAsia"/>
          <w:highlight w:val="none"/>
          <w:lang w:val="en-US" w:eastAsia="zh-CN"/>
        </w:rPr>
      </w:pPr>
      <w:r>
        <w:rPr>
          <w:rFonts w:hint="eastAsia" w:ascii="黑体" w:hAnsi="黑体" w:eastAsia="黑体" w:cs="Times New Roman"/>
          <w:sz w:val="21"/>
          <w:highlight w:val="none"/>
          <w:lang w:val="en-US" w:eastAsia="zh-CN" w:bidi="ar-SA"/>
        </w:rPr>
        <w:t>抽样单元</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sampling</w:t>
      </w:r>
      <w:r>
        <w:rPr>
          <w:rFonts w:hint="default" w:ascii="黑体" w:hAnsi="黑体" w:eastAsia="黑体" w:cs="Times New Roman"/>
          <w:sz w:val="21"/>
          <w:highlight w:val="none"/>
          <w:lang w:eastAsia="zh-Hans" w:bidi="ar-SA"/>
        </w:rPr>
        <w:t xml:space="preserve"> </w:t>
      </w:r>
      <w:r>
        <w:rPr>
          <w:rFonts w:hint="eastAsia" w:ascii="黑体" w:hAnsi="黑体" w:eastAsia="黑体" w:cs="Times New Roman"/>
          <w:sz w:val="21"/>
          <w:highlight w:val="none"/>
          <w:lang w:val="en-US" w:eastAsia="zh-Hans" w:bidi="ar-SA"/>
        </w:rPr>
        <w:t>unit</w:t>
      </w:r>
      <w:r>
        <w:rPr>
          <w:rFonts w:hint="eastAsia"/>
          <w:highlight w:val="none"/>
          <w:lang w:val="en-US" w:eastAsia="zh-CN"/>
        </w:rPr>
        <w:br w:type="textWrapping"/>
      </w:r>
      <w:r>
        <w:rPr>
          <w:rFonts w:hint="eastAsia"/>
          <w:highlight w:val="none"/>
          <w:lang w:val="en-US" w:eastAsia="zh-CN"/>
        </w:rPr>
        <w:t>　　    施行抽样的包装件。</w:t>
      </w:r>
    </w:p>
    <w:p w14:paraId="13BDFF0C">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17" w:name="_Toc634433099"/>
      <w:bookmarkEnd w:id="217"/>
      <w:bookmarkStart w:id="218" w:name="_Toc1457990819"/>
      <w:bookmarkEnd w:id="218"/>
      <w:bookmarkStart w:id="219" w:name="_Toc483385388"/>
      <w:bookmarkEnd w:id="219"/>
    </w:p>
    <w:p w14:paraId="65E2CCBF">
      <w:pPr>
        <w:pStyle w:val="37"/>
        <w:rPr>
          <w:rFonts w:hint="eastAsia"/>
          <w:highlight w:val="none"/>
          <w:lang w:val="en-US" w:eastAsia="zh-CN"/>
        </w:rPr>
      </w:pPr>
      <w:r>
        <w:rPr>
          <w:rFonts w:hint="eastAsia" w:ascii="黑体" w:hAnsi="黑体" w:eastAsia="黑体" w:cs="Times New Roman"/>
          <w:sz w:val="21"/>
          <w:highlight w:val="none"/>
          <w:lang w:val="en-US" w:eastAsia="zh-CN" w:bidi="ar-SA"/>
        </w:rPr>
        <w:t>单元样品</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u</w:t>
      </w:r>
      <w:r>
        <w:rPr>
          <w:rFonts w:hint="default" w:ascii="黑体" w:hAnsi="黑体" w:eastAsia="黑体" w:cs="Times New Roman"/>
          <w:sz w:val="21"/>
          <w:highlight w:val="none"/>
          <w:lang w:eastAsia="zh-CN" w:bidi="ar-SA"/>
        </w:rPr>
        <w:t>nit sampl</w:t>
      </w:r>
      <w:r>
        <w:rPr>
          <w:rFonts w:hint="eastAsia" w:ascii="黑体" w:hAnsi="黑体" w:eastAsia="黑体" w:cs="Times New Roman"/>
          <w:sz w:val="21"/>
          <w:highlight w:val="none"/>
          <w:lang w:val="en-US" w:eastAsia="zh-Hans" w:bidi="ar-SA"/>
        </w:rPr>
        <w:t>e</w:t>
      </w:r>
      <w:r>
        <w:rPr>
          <w:rFonts w:hint="eastAsia"/>
          <w:highlight w:val="none"/>
          <w:lang w:val="en-US" w:eastAsia="zh-CN"/>
        </w:rPr>
        <w:br w:type="textWrapping"/>
      </w:r>
      <w:r>
        <w:rPr>
          <w:rFonts w:hint="eastAsia"/>
          <w:highlight w:val="none"/>
          <w:lang w:val="en-US" w:eastAsia="zh-CN"/>
        </w:rPr>
        <w:t>　　从一个抽样单元中抽取的样品。</w:t>
      </w:r>
    </w:p>
    <w:p w14:paraId="158AD66E">
      <w:pPr>
        <w:pStyle w:val="36"/>
        <w:keepNext w:val="0"/>
        <w:keepLines w:val="0"/>
        <w:pageBreakBefore w:val="0"/>
        <w:widowControl w:val="0"/>
        <w:kinsoku/>
        <w:wordWrap/>
        <w:overflowPunct/>
        <w:topLinePunct w:val="0"/>
        <w:autoSpaceDE/>
        <w:autoSpaceDN/>
        <w:bidi w:val="0"/>
        <w:adjustRightInd/>
        <w:snapToGrid/>
        <w:spacing w:before="157" w:beforeLines="50" w:afterLines="0" w:line="240" w:lineRule="auto"/>
        <w:ind w:left="0" w:leftChars="0" w:right="0" w:rightChars="0" w:firstLine="0" w:firstLineChars="0"/>
        <w:jc w:val="both"/>
        <w:textAlignment w:val="auto"/>
        <w:outlineLvl w:val="0"/>
        <w:rPr>
          <w:rFonts w:hint="eastAsia"/>
          <w:highlight w:val="none"/>
          <w:lang w:val="en-US" w:eastAsia="zh-CN"/>
        </w:rPr>
      </w:pPr>
      <w:bookmarkStart w:id="220" w:name="_Toc1663282663"/>
      <w:bookmarkStart w:id="221" w:name="_Toc1094337433"/>
      <w:bookmarkStart w:id="222" w:name="_Toc2095054197"/>
      <w:bookmarkStart w:id="223" w:name="_Toc1667655535"/>
      <w:bookmarkStart w:id="224" w:name="_Toc1084362275"/>
      <w:bookmarkStart w:id="225" w:name="_Toc660787538"/>
      <w:bookmarkStart w:id="226" w:name="_Toc327579515"/>
      <w:bookmarkStart w:id="227" w:name="_Toc336225269"/>
      <w:r>
        <w:rPr>
          <w:rFonts w:hint="eastAsia" w:ascii="黑体" w:hAnsi="黑体" w:eastAsia="黑体"/>
          <w:highlight w:val="none"/>
          <w:lang w:val="en-US" w:eastAsia="zh-CN"/>
        </w:rPr>
        <w:br w:type="textWrapping"/>
      </w:r>
      <w:r>
        <w:rPr>
          <w:rFonts w:hint="eastAsia" w:hAnsi="黑体" w:cs="Times New Roman"/>
          <w:sz w:val="21"/>
          <w:highlight w:val="none"/>
          <w:lang w:val="en-US" w:eastAsia="zh-CN" w:bidi="ar-SA"/>
        </w:rPr>
        <w:t xml:space="preserve">    </w:t>
      </w:r>
      <w:r>
        <w:rPr>
          <w:rFonts w:hint="eastAsia" w:ascii="黑体" w:hAnsi="黑体" w:eastAsia="黑体" w:cs="Times New Roman"/>
          <w:sz w:val="21"/>
          <w:highlight w:val="none"/>
          <w:lang w:val="en-US" w:eastAsia="zh-CN" w:bidi="ar-SA"/>
        </w:rPr>
        <w:t>最终样品</w:t>
      </w:r>
      <w:r>
        <w:rPr>
          <w:rFonts w:hint="default" w:ascii="黑体" w:hAnsi="黑体" w:eastAsia="黑体" w:cs="Times New Roman"/>
          <w:sz w:val="21"/>
          <w:highlight w:val="none"/>
          <w:lang w:eastAsia="zh-CN" w:bidi="ar-SA"/>
        </w:rPr>
        <w:t xml:space="preserve"> </w:t>
      </w:r>
      <w:r>
        <w:rPr>
          <w:rFonts w:hint="eastAsia" w:ascii="黑体" w:hAnsi="黑体" w:eastAsia="黑体" w:cs="Times New Roman"/>
          <w:sz w:val="21"/>
          <w:highlight w:val="none"/>
          <w:lang w:val="en-US" w:eastAsia="zh-Hans" w:bidi="ar-SA"/>
        </w:rPr>
        <w:t>final</w:t>
      </w:r>
      <w:r>
        <w:rPr>
          <w:rFonts w:hint="default" w:ascii="黑体" w:hAnsi="黑体" w:eastAsia="黑体" w:cs="Times New Roman"/>
          <w:sz w:val="21"/>
          <w:highlight w:val="none"/>
          <w:lang w:eastAsia="zh-Hans" w:bidi="ar-SA"/>
        </w:rPr>
        <w:t xml:space="preserve"> </w:t>
      </w:r>
      <w:r>
        <w:rPr>
          <w:rFonts w:hint="eastAsia" w:ascii="黑体" w:hAnsi="黑体" w:eastAsia="黑体" w:cs="Times New Roman"/>
          <w:sz w:val="21"/>
          <w:highlight w:val="none"/>
          <w:lang w:val="en-US" w:eastAsia="zh-Hans" w:bidi="ar-SA"/>
        </w:rPr>
        <w:t>sample</w:t>
      </w:r>
      <w:bookmarkEnd w:id="220"/>
      <w:bookmarkEnd w:id="221"/>
      <w:bookmarkEnd w:id="222"/>
      <w:bookmarkEnd w:id="223"/>
      <w:bookmarkEnd w:id="224"/>
      <w:bookmarkEnd w:id="225"/>
      <w:bookmarkEnd w:id="226"/>
      <w:bookmarkEnd w:id="227"/>
    </w:p>
    <w:p w14:paraId="7BA5F14E">
      <w:pPr>
        <w:pStyle w:val="47"/>
        <w:numPr>
          <w:ilvl w:val="2"/>
          <w:numId w:val="0"/>
        </w:numPr>
        <w:ind w:firstLine="420" w:firstLineChars="200"/>
        <w:outlineLvl w:val="0"/>
        <w:rPr>
          <w:rFonts w:hint="eastAsia"/>
          <w:highlight w:val="none"/>
          <w:lang w:val="en-US" w:eastAsia="zh-CN"/>
        </w:rPr>
      </w:pPr>
      <w:bookmarkStart w:id="228" w:name="_Toc1434012767"/>
      <w:bookmarkStart w:id="229" w:name="_Toc1218212529"/>
      <w:bookmarkStart w:id="230" w:name="_Toc1330527483"/>
      <w:bookmarkStart w:id="231" w:name="_Toc1477499748"/>
      <w:bookmarkStart w:id="232" w:name="_Toc997084042"/>
      <w:bookmarkStart w:id="233" w:name="_Toc1628321344"/>
      <w:bookmarkStart w:id="234" w:name="_Toc1479283523"/>
      <w:bookmarkStart w:id="235" w:name="_Toc908620826"/>
      <w:r>
        <w:rPr>
          <w:rFonts w:hint="eastAsia"/>
          <w:highlight w:val="none"/>
          <w:lang w:val="en-US" w:eastAsia="zh-CN"/>
        </w:rPr>
        <w:t>由从不同抽样单元抽取的单元样品汇集制成的样品，供检验、复核、留样和必要时作为查处假劣产品的物证之用。</w:t>
      </w:r>
      <w:bookmarkEnd w:id="228"/>
      <w:bookmarkEnd w:id="229"/>
      <w:bookmarkEnd w:id="230"/>
      <w:bookmarkEnd w:id="231"/>
      <w:bookmarkEnd w:id="232"/>
      <w:bookmarkEnd w:id="233"/>
      <w:bookmarkEnd w:id="234"/>
      <w:bookmarkEnd w:id="235"/>
    </w:p>
    <w:p w14:paraId="6CECF216">
      <w:pPr>
        <w:pStyle w:val="47"/>
        <w:spacing w:before="157" w:beforeLines="50" w:after="157" w:afterLines="50"/>
        <w:ind w:left="420" w:hanging="420" w:hangingChars="200"/>
        <w:outlineLvl w:val="0"/>
      </w:pPr>
      <w:bookmarkStart w:id="236" w:name="_Toc1812714887"/>
      <w:bookmarkStart w:id="237" w:name="_Toc984854375"/>
      <w:bookmarkStart w:id="238" w:name="_Toc434008765"/>
      <w:bookmarkStart w:id="239" w:name="_Toc899989742"/>
      <w:bookmarkStart w:id="240" w:name="_Toc243604688"/>
      <w:bookmarkStart w:id="241" w:name="_Toc388884405"/>
      <w:bookmarkStart w:id="242" w:name="_Toc428190570"/>
      <w:r>
        <w:rPr>
          <w:rFonts w:hint="eastAsia" w:ascii="黑体" w:hAnsi="黑体" w:eastAsia="黑体"/>
          <w:highlight w:val="none"/>
          <w:lang w:val="en-US" w:eastAsia="zh-CN"/>
        </w:rPr>
        <w:t>执法相关术语</w:t>
      </w:r>
      <w:bookmarkEnd w:id="236"/>
      <w:bookmarkEnd w:id="237"/>
      <w:bookmarkEnd w:id="238"/>
      <w:bookmarkEnd w:id="239"/>
      <w:bookmarkEnd w:id="240"/>
      <w:bookmarkEnd w:id="241"/>
      <w:bookmarkEnd w:id="242"/>
    </w:p>
    <w:p w14:paraId="60BF9EA1">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243" w:name="_Toc1187457014"/>
      <w:bookmarkEnd w:id="243"/>
      <w:bookmarkStart w:id="244" w:name="_Toc1176596353"/>
      <w:bookmarkEnd w:id="244"/>
      <w:bookmarkStart w:id="245" w:name="_Toc2096089467"/>
      <w:bookmarkEnd w:id="245"/>
    </w:p>
    <w:p w14:paraId="1E12EED4">
      <w:pPr>
        <w:numPr>
          <w:ilvl w:val="-1"/>
          <w:numId w:val="0"/>
        </w:numPr>
        <w:adjustRightInd/>
        <w:spacing w:line="240" w:lineRule="auto"/>
        <w:ind w:left="0" w:firstLine="420" w:firstLineChars="200"/>
        <w:rPr>
          <w:rFonts w:hint="eastAsia" w:ascii="黑体" w:hAnsi="黑体" w:eastAsia="黑体" w:cs="黑体"/>
          <w:spacing w:val="0"/>
          <w:kern w:val="2"/>
          <w:szCs w:val="21"/>
          <w:highlight w:val="cyan"/>
          <w:lang w:val="en-US" w:eastAsia="zh-CN"/>
        </w:rPr>
      </w:pPr>
      <w:r>
        <w:rPr>
          <w:rFonts w:hint="eastAsia" w:ascii="黑体" w:hAnsi="黑体" w:eastAsia="黑体" w:cs="黑体"/>
          <w:spacing w:val="0"/>
        </w:rPr>
        <w:t>投诉</w:t>
      </w:r>
      <w:r>
        <w:rPr>
          <w:rFonts w:hint="eastAsia" w:ascii="黑体" w:hAnsi="黑体" w:eastAsia="黑体" w:cs="黑体"/>
          <w:spacing w:val="0"/>
          <w:lang w:val="en-US" w:eastAsia="zh-CN"/>
        </w:rPr>
        <w:t xml:space="preserve"> complaint</w:t>
      </w:r>
    </w:p>
    <w:p w14:paraId="4524E3A5">
      <w:pPr>
        <w:numPr>
          <w:ilvl w:val="-1"/>
          <w:numId w:val="0"/>
        </w:numPr>
        <w:adjustRightInd/>
        <w:spacing w:line="240" w:lineRule="auto"/>
        <w:ind w:left="0" w:firstLine="420" w:firstLineChars="200"/>
        <w:rPr>
          <w:rFonts w:hint="default" w:ascii="黑体" w:eastAsia="黑体"/>
          <w:spacing w:val="0"/>
        </w:rPr>
      </w:pPr>
      <w:r>
        <w:rPr>
          <w:rFonts w:hint="eastAsia" w:ascii="宋体" w:hAnsi="宋体" w:eastAsia="宋体" w:cs="宋体"/>
          <w:spacing w:val="0"/>
        </w:rPr>
        <w:t>消费者为生活消费需要购买、使用商品或者接受服务，与经营者发生权益争执，请求</w:t>
      </w:r>
      <w:r>
        <w:rPr>
          <w:rFonts w:hint="eastAsia" w:ascii="宋体" w:hAnsi="宋体" w:eastAsia="宋体" w:cs="宋体"/>
          <w:spacing w:val="0"/>
          <w:lang w:val="en-US" w:eastAsia="zh-CN"/>
        </w:rPr>
        <w:t>相关部门</w:t>
      </w:r>
      <w:r>
        <w:rPr>
          <w:rFonts w:hint="eastAsia" w:ascii="宋体" w:hAnsi="宋体" w:eastAsia="宋体" w:cs="宋体"/>
          <w:spacing w:val="0"/>
        </w:rPr>
        <w:t>解决该争议的行为。</w:t>
      </w:r>
    </w:p>
    <w:p w14:paraId="3CBF2692">
      <w:pPr>
        <w:pStyle w:val="49"/>
        <w:rPr>
          <w:rFonts w:hint="eastAsia" w:ascii="宋体" w:eastAsia="宋体"/>
          <w:b w:val="0"/>
          <w:bCs w:val="0"/>
          <w:highlight w:val="none"/>
          <w:lang w:val="en-US" w:eastAsia="zh-CN"/>
        </w:rPr>
      </w:pPr>
      <w:r>
        <w:rPr>
          <w:rFonts w:hint="default" w:ascii="宋体" w:eastAsia="宋体"/>
          <w:b w:val="0"/>
          <w:bCs w:val="0"/>
          <w:highlight w:val="none"/>
          <w:lang w:val="en-US" w:eastAsia="zh-CN"/>
        </w:rPr>
        <w:t>本文件特指向市场监督管理部门反馈争议的情形。</w:t>
      </w:r>
    </w:p>
    <w:p w14:paraId="3F51A550">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246" w:name="_Toc1653926481"/>
      <w:bookmarkEnd w:id="246"/>
      <w:bookmarkStart w:id="247" w:name="_Toc1025483295"/>
      <w:bookmarkEnd w:id="247"/>
      <w:bookmarkStart w:id="248" w:name="_Toc1024502727"/>
      <w:bookmarkEnd w:id="248"/>
    </w:p>
    <w:p w14:paraId="1842869E">
      <w:pPr>
        <w:pStyle w:val="36"/>
        <w:keepNext w:val="0"/>
        <w:keepLines w:val="0"/>
        <w:pageBreakBefore w:val="0"/>
        <w:widowControl w:val="0"/>
        <w:numPr>
          <w:ilvl w:val="3"/>
          <w:numId w:val="0"/>
        </w:numPr>
        <w:kinsoku/>
        <w:wordWrap/>
        <w:overflowPunct/>
        <w:topLinePunct w:val="0"/>
        <w:autoSpaceDE/>
        <w:autoSpaceDN/>
        <w:bidi w:val="0"/>
        <w:adjustRightInd/>
        <w:snapToGrid/>
        <w:spacing w:beforeLines="0" w:afterLines="0" w:line="240" w:lineRule="auto"/>
        <w:ind w:left="0" w:leftChars="0" w:right="0" w:rightChars="0" w:firstLine="420" w:firstLineChars="200"/>
        <w:jc w:val="both"/>
        <w:textAlignment w:val="auto"/>
        <w:outlineLvl w:val="2"/>
        <w:rPr>
          <w:rFonts w:hint="eastAsia" w:hAnsi="黑体" w:eastAsia="黑体" w:cs="黑体"/>
          <w:kern w:val="2"/>
          <w:position w:val="0"/>
          <w:szCs w:val="21"/>
          <w:highlight w:val="cyan"/>
          <w:lang w:val="en-US" w:eastAsia="zh-CN"/>
        </w:rPr>
      </w:pPr>
      <w:bookmarkStart w:id="249" w:name="_Toc1741471890"/>
      <w:bookmarkStart w:id="250" w:name="_Toc293451043"/>
      <w:bookmarkStart w:id="251" w:name="_Toc514039399"/>
      <w:r>
        <w:rPr>
          <w:position w:val="0"/>
        </w:rPr>
        <w:t>举报</w:t>
      </w:r>
      <w:r>
        <w:rPr>
          <w:rFonts w:hint="eastAsia"/>
          <w:position w:val="0"/>
          <w:lang w:val="en-US" w:eastAsia="zh-CN"/>
        </w:rPr>
        <w:t xml:space="preserve"> repo</w:t>
      </w:r>
      <w:r>
        <w:rPr>
          <w:rFonts w:hint="eastAsia"/>
          <w:position w:val="0"/>
          <w:lang w:val="en-US" w:eastAsia="zh-Hans"/>
        </w:rPr>
        <w:t>r</w:t>
      </w:r>
      <w:r>
        <w:rPr>
          <w:rFonts w:hint="eastAsia"/>
          <w:position w:val="0"/>
          <w:lang w:val="en-US" w:eastAsia="zh-CN"/>
        </w:rPr>
        <w:t>t</w:t>
      </w:r>
      <w:bookmarkEnd w:id="249"/>
      <w:bookmarkEnd w:id="250"/>
      <w:bookmarkEnd w:id="251"/>
    </w:p>
    <w:p w14:paraId="0AB9D737">
      <w:pPr>
        <w:adjustRightInd/>
        <w:spacing w:line="240" w:lineRule="auto"/>
        <w:ind w:firstLine="420" w:firstLineChars="200"/>
        <w:rPr>
          <w:spacing w:val="0"/>
        </w:rPr>
      </w:pPr>
      <w:r>
        <w:rPr>
          <w:rFonts w:hint="eastAsia"/>
          <w:position w:val="0"/>
        </w:rPr>
        <w:t>自然人、法人或者其他组织向监督管理部门反映</w:t>
      </w:r>
      <w:r>
        <w:rPr>
          <w:spacing w:val="0"/>
        </w:rPr>
        <w:t>涉嫌违反</w:t>
      </w:r>
      <w:r>
        <w:rPr>
          <w:rFonts w:hint="eastAsia"/>
          <w:spacing w:val="0"/>
          <w:lang w:val="en-US" w:eastAsia="zh-CN"/>
        </w:rPr>
        <w:t>产</w:t>
      </w:r>
      <w:r>
        <w:rPr>
          <w:spacing w:val="0"/>
        </w:rPr>
        <w:t>品监督管理法律、法规、规章线索的行为。</w:t>
      </w:r>
    </w:p>
    <w:p w14:paraId="1E794FE3">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252" w:name="_Toc1409226189"/>
      <w:bookmarkEnd w:id="252"/>
      <w:bookmarkStart w:id="253" w:name="_Toc133467112"/>
      <w:bookmarkEnd w:id="253"/>
      <w:bookmarkStart w:id="254" w:name="_Toc863430267"/>
      <w:bookmarkEnd w:id="254"/>
    </w:p>
    <w:p w14:paraId="1D5BAC7D">
      <w:pPr>
        <w:numPr>
          <w:ilvl w:val="0"/>
          <w:numId w:val="0"/>
        </w:numPr>
        <w:adjustRightInd/>
        <w:spacing w:before="1" w:line="240" w:lineRule="auto"/>
        <w:ind w:left="0" w:firstLine="420" w:firstLineChars="200"/>
        <w:rPr>
          <w:rFonts w:hint="eastAsia" w:ascii="黑体" w:hAnsi="黑体" w:eastAsia="黑体" w:cs="黑体"/>
          <w:spacing w:val="0"/>
          <w:kern w:val="2"/>
          <w:position w:val="0"/>
          <w:szCs w:val="21"/>
          <w:lang w:val="en-US" w:eastAsia="zh-CN"/>
        </w:rPr>
      </w:pPr>
      <w:r>
        <w:rPr>
          <w:rFonts w:hint="eastAsia" w:ascii="黑体" w:hAnsi="黑体" w:eastAsia="黑体" w:cs="黑体"/>
          <w:color w:val="auto"/>
          <w:spacing w:val="0"/>
          <w:position w:val="0"/>
        </w:rPr>
        <w:t>案源</w:t>
      </w:r>
      <w:r>
        <w:rPr>
          <w:rFonts w:hint="default" w:ascii="黑体" w:hAnsi="黑体" w:eastAsia="黑体" w:cs="黑体"/>
          <w:color w:val="auto"/>
          <w:spacing w:val="0"/>
          <w:position w:val="0"/>
        </w:rPr>
        <w:t xml:space="preserve"> </w:t>
      </w:r>
      <w:r>
        <w:rPr>
          <w:rFonts w:hint="eastAsia" w:ascii="黑体" w:hAnsi="黑体" w:eastAsia="黑体" w:cs="黑体"/>
          <w:color w:val="auto"/>
          <w:spacing w:val="0"/>
          <w:position w:val="0"/>
          <w:lang w:val="en-US" w:eastAsia="zh-Hans"/>
        </w:rPr>
        <w:t>case</w:t>
      </w:r>
      <w:r>
        <w:rPr>
          <w:rFonts w:hint="default" w:ascii="黑体" w:hAnsi="黑体" w:eastAsia="黑体" w:cs="黑体"/>
          <w:color w:val="auto"/>
          <w:spacing w:val="0"/>
          <w:position w:val="0"/>
          <w:lang w:eastAsia="zh-Hans"/>
        </w:rPr>
        <w:t xml:space="preserve"> </w:t>
      </w:r>
      <w:r>
        <w:rPr>
          <w:rFonts w:hint="eastAsia" w:ascii="黑体" w:hAnsi="黑体" w:eastAsia="黑体" w:cs="黑体"/>
          <w:color w:val="auto"/>
          <w:spacing w:val="0"/>
          <w:position w:val="0"/>
          <w:lang w:val="en-US" w:eastAsia="zh-Hans"/>
        </w:rPr>
        <w:t>source</w:t>
      </w:r>
    </w:p>
    <w:p w14:paraId="5C87B671">
      <w:pPr>
        <w:numPr>
          <w:ilvl w:val="0"/>
          <w:numId w:val="0"/>
        </w:numPr>
        <w:adjustRightInd/>
        <w:spacing w:before="1" w:line="240" w:lineRule="auto"/>
        <w:ind w:left="0" w:firstLine="420" w:firstLineChars="200"/>
        <w:rPr>
          <w:spacing w:val="0"/>
        </w:rPr>
      </w:pPr>
      <w:r>
        <w:rPr>
          <w:color w:val="auto"/>
          <w:spacing w:val="0"/>
          <w:position w:val="0"/>
        </w:rPr>
        <w:t>依法依规由监督管理</w:t>
      </w:r>
      <w:r>
        <w:rPr>
          <w:rFonts w:hint="eastAsia"/>
          <w:spacing w:val="0"/>
          <w:position w:val="0"/>
          <w:lang w:val="en-US" w:eastAsia="zh-CN"/>
        </w:rPr>
        <w:t>部门</w:t>
      </w:r>
      <w:r>
        <w:rPr>
          <w:color w:val="auto"/>
          <w:spacing w:val="0"/>
          <w:position w:val="0"/>
        </w:rPr>
        <w:t>查处的行政相对人涉</w:t>
      </w:r>
      <w:r>
        <w:rPr>
          <w:color w:val="auto"/>
          <w:spacing w:val="0"/>
        </w:rPr>
        <w:t>嫌违反有关法律法规</w:t>
      </w:r>
      <w:r>
        <w:rPr>
          <w:rFonts w:hint="eastAsia"/>
          <w:spacing w:val="0"/>
          <w:lang w:val="en-US" w:eastAsia="zh-CN"/>
        </w:rPr>
        <w:t>的</w:t>
      </w:r>
      <w:r>
        <w:rPr>
          <w:color w:val="auto"/>
          <w:spacing w:val="0"/>
        </w:rPr>
        <w:t>行为线索。</w:t>
      </w:r>
    </w:p>
    <w:p w14:paraId="03F44DA6">
      <w:pPr>
        <w:pStyle w:val="36"/>
        <w:keepNext w:val="0"/>
        <w:keepLines w:val="0"/>
        <w:pageBreakBefore w:val="0"/>
        <w:widowControl w:val="0"/>
        <w:kinsoku/>
        <w:wordWrap/>
        <w:overflowPunct/>
        <w:topLinePunct w:val="0"/>
        <w:autoSpaceDE/>
        <w:autoSpaceDN/>
        <w:bidi w:val="0"/>
        <w:adjustRightInd/>
        <w:snapToGrid/>
        <w:spacing w:before="219" w:afterLines="0" w:line="240" w:lineRule="auto"/>
        <w:ind w:left="0" w:right="119" w:hangingChars="200"/>
        <w:textAlignment w:val="auto"/>
        <w:rPr>
          <w:rFonts w:hint="default" w:ascii="黑体" w:hAnsi="黑体" w:eastAsia="黑体"/>
          <w:highlight w:val="none"/>
          <w:lang w:val="en-US" w:eastAsia="zh-CN"/>
        </w:rPr>
      </w:pPr>
      <w:bookmarkStart w:id="255" w:name="_Toc267415760"/>
      <w:bookmarkEnd w:id="255"/>
      <w:bookmarkStart w:id="256" w:name="_Toc1208823916"/>
      <w:bookmarkEnd w:id="256"/>
      <w:bookmarkStart w:id="257" w:name="_Toc1125494690"/>
      <w:bookmarkEnd w:id="257"/>
    </w:p>
    <w:p w14:paraId="63A1CDB5">
      <w:pPr>
        <w:numPr>
          <w:ilvl w:val="0"/>
          <w:numId w:val="0"/>
        </w:numPr>
        <w:spacing w:line="240" w:lineRule="auto"/>
        <w:ind w:firstLine="420" w:firstLineChars="200"/>
        <w:rPr>
          <w:rFonts w:hint="eastAsia" w:ascii="黑体" w:hAnsi="黑体" w:eastAsia="黑体" w:cs="黑体"/>
          <w:kern w:val="2"/>
          <w:szCs w:val="21"/>
          <w:highlight w:val="cyan"/>
          <w:lang w:val="en-US" w:eastAsia="zh-CN"/>
        </w:rPr>
      </w:pPr>
      <w:r>
        <w:rPr>
          <w:rFonts w:hint="eastAsia" w:ascii="黑体" w:hAnsi="黑体" w:eastAsia="黑体" w:cs="黑体"/>
          <w:color w:val="auto"/>
          <w:kern w:val="2"/>
          <w:szCs w:val="21"/>
          <w:highlight w:val="none"/>
        </w:rPr>
        <w:t>协查</w:t>
      </w:r>
      <w:r>
        <w:rPr>
          <w:rFonts w:hint="eastAsia" w:ascii="黑体" w:hAnsi="黑体" w:eastAsia="黑体" w:cs="黑体"/>
          <w:color w:val="auto"/>
          <w:kern w:val="2"/>
          <w:szCs w:val="21"/>
          <w:highlight w:val="none"/>
          <w:lang w:val="en-US" w:eastAsia="zh-CN"/>
        </w:rPr>
        <w:t xml:space="preserve"> cooperative-investigation</w:t>
      </w:r>
    </w:p>
    <w:p w14:paraId="487CD0BA">
      <w:pPr>
        <w:numPr>
          <w:ilvl w:val="0"/>
          <w:numId w:val="0"/>
        </w:numPr>
        <w:spacing w:line="240" w:lineRule="auto"/>
        <w:ind w:firstLine="420" w:firstLineChars="200"/>
        <w:rPr>
          <w:color w:val="231F20"/>
          <w:spacing w:val="-3"/>
          <w:highlight w:val="none"/>
        </w:rPr>
      </w:pPr>
      <w:r>
        <w:rPr>
          <w:color w:val="231F20"/>
          <w:highlight w:val="none"/>
        </w:rPr>
        <w:t>监督管理部门之间，在执法办案过程中，对</w:t>
      </w:r>
      <w:r>
        <w:rPr>
          <w:rFonts w:hint="eastAsia"/>
          <w:color w:val="231F20"/>
          <w:highlight w:val="none"/>
          <w:lang w:val="en-US" w:eastAsia="zh-CN"/>
        </w:rPr>
        <w:t>特定</w:t>
      </w:r>
      <w:r>
        <w:rPr>
          <w:color w:val="231F20"/>
          <w:highlight w:val="none"/>
        </w:rPr>
        <w:t>药</w:t>
      </w:r>
      <w:r>
        <w:rPr>
          <w:rFonts w:hint="eastAsia"/>
          <w:color w:val="231F20"/>
          <w:spacing w:val="15"/>
          <w:highlight w:val="none"/>
          <w:lang w:val="en-US" w:eastAsia="zh-CN"/>
        </w:rPr>
        <w:t>械</w:t>
      </w:r>
      <w:r>
        <w:rPr>
          <w:color w:val="231F20"/>
          <w:spacing w:val="-1"/>
          <w:highlight w:val="none"/>
        </w:rPr>
        <w:t>化企业或行政相对人及其</w:t>
      </w:r>
      <w:r>
        <w:rPr>
          <w:color w:val="231F20"/>
          <w:spacing w:val="-2"/>
          <w:highlight w:val="none"/>
        </w:rPr>
        <w:t>行为进</w:t>
      </w:r>
      <w:r>
        <w:rPr>
          <w:color w:val="231F20"/>
          <w:spacing w:val="-3"/>
          <w:highlight w:val="none"/>
        </w:rPr>
        <w:t>行核查确认，并出具与案件调查取证有关材料的过程。</w:t>
      </w:r>
    </w:p>
    <w:p w14:paraId="1A9BCCCB">
      <w:pPr>
        <w:pStyle w:val="54"/>
        <w:numPr>
          <w:ilvl w:val="0"/>
          <w:numId w:val="3"/>
        </w:numPr>
        <w:spacing w:before="1" w:line="220" w:lineRule="auto"/>
        <w:ind w:left="420" w:leftChars="200" w:firstLine="0"/>
        <w:rPr>
          <w:rFonts w:hint="eastAsia"/>
          <w:lang w:val="en-US" w:eastAsia="zh-CN"/>
        </w:rPr>
      </w:pPr>
      <w:r>
        <w:rPr>
          <w:rFonts w:hint="default"/>
          <w:highlight w:val="none"/>
          <w:lang w:val="en-US" w:eastAsia="zh-CN" w:bidi="ar"/>
        </w:rPr>
        <w:t>本文件特指药品监督管理部门间的协查活动。</w:t>
      </w:r>
    </w:p>
    <w:p w14:paraId="25CCE4AF">
      <w:pPr>
        <w:pStyle w:val="36"/>
        <w:keepNext w:val="0"/>
        <w:keepLines w:val="0"/>
        <w:pageBreakBefore w:val="0"/>
        <w:widowControl w:val="0"/>
        <w:kinsoku/>
        <w:wordWrap/>
        <w:overflowPunct/>
        <w:topLinePunct w:val="0"/>
        <w:autoSpaceDE/>
        <w:autoSpaceDN/>
        <w:bidi w:val="0"/>
        <w:adjustRightInd/>
        <w:snapToGrid/>
        <w:spacing w:before="219" w:afterLines="0" w:line="240" w:lineRule="auto"/>
        <w:ind w:left="0" w:right="119" w:hangingChars="200"/>
        <w:textAlignment w:val="auto"/>
        <w:rPr>
          <w:rFonts w:hint="eastAsia"/>
          <w:lang w:val="en-US" w:eastAsia="zh-CN"/>
        </w:rPr>
      </w:pPr>
    </w:p>
    <w:p w14:paraId="4D781C93">
      <w:pPr>
        <w:pStyle w:val="37"/>
        <w:spacing w:before="1" w:line="220" w:lineRule="auto"/>
        <w:ind w:left="60"/>
        <w:rPr>
          <w:rFonts w:hint="default" w:ascii="黑体" w:hAnsi="黑体" w:eastAsia="黑体" w:cs="黑体"/>
          <w:kern w:val="2"/>
          <w:szCs w:val="21"/>
          <w:highlight w:val="cyan"/>
          <w:lang w:val="en-US" w:eastAsia="zh-CN"/>
        </w:rPr>
      </w:pPr>
      <w:r>
        <w:rPr>
          <w:rFonts w:hint="eastAsia" w:ascii="黑体" w:hAnsi="黑体" w:eastAsia="黑体" w:cs="黑体"/>
          <w:color w:val="auto"/>
          <w:kern w:val="2"/>
          <w:szCs w:val="21"/>
          <w:lang w:val="en-US" w:eastAsia="zh-CN"/>
        </w:rPr>
        <w:t xml:space="preserve">行刑衔接 </w:t>
      </w:r>
      <w:r>
        <w:rPr>
          <w:rFonts w:hint="default" w:ascii="黑体" w:hAnsi="黑体" w:eastAsia="黑体" w:cs="黑体"/>
          <w:color w:val="auto"/>
          <w:kern w:val="2"/>
          <w:szCs w:val="21"/>
          <w:lang w:val="en-US" w:eastAsia="zh-CN"/>
        </w:rPr>
        <w:t>c</w:t>
      </w:r>
      <w:r>
        <w:rPr>
          <w:rFonts w:hint="eastAsia" w:ascii="黑体" w:hAnsi="黑体" w:eastAsia="黑体" w:cs="黑体"/>
          <w:color w:val="auto"/>
          <w:kern w:val="2"/>
          <w:szCs w:val="21"/>
          <w:lang w:val="en-US" w:eastAsia="zh-CN"/>
        </w:rPr>
        <w:t xml:space="preserve">onnection of </w:t>
      </w:r>
      <w:r>
        <w:rPr>
          <w:rFonts w:hint="default" w:ascii="黑体" w:hAnsi="黑体" w:eastAsia="黑体" w:cs="黑体"/>
          <w:color w:val="auto"/>
          <w:kern w:val="2"/>
          <w:szCs w:val="21"/>
          <w:lang w:val="en-US" w:eastAsia="zh-CN"/>
        </w:rPr>
        <w:t>a</w:t>
      </w:r>
      <w:r>
        <w:rPr>
          <w:rFonts w:hint="eastAsia" w:ascii="黑体" w:hAnsi="黑体" w:eastAsia="黑体" w:cs="黑体"/>
          <w:color w:val="auto"/>
          <w:kern w:val="2"/>
          <w:szCs w:val="21"/>
          <w:lang w:val="en-US" w:eastAsia="zh-CN"/>
        </w:rPr>
        <w:t xml:space="preserve">dministrative-law-enforcement </w:t>
      </w:r>
      <w:r>
        <w:rPr>
          <w:rFonts w:hint="default" w:ascii="黑体" w:hAnsi="黑体" w:eastAsia="黑体" w:cs="黑体"/>
          <w:color w:val="auto"/>
          <w:kern w:val="2"/>
          <w:szCs w:val="21"/>
          <w:lang w:val="en-US" w:eastAsia="zh-CN"/>
        </w:rPr>
        <w:t xml:space="preserve">and criminal justice </w:t>
      </w:r>
    </w:p>
    <w:p w14:paraId="70B00D1E">
      <w:pPr>
        <w:pStyle w:val="37"/>
        <w:spacing w:before="1" w:line="220" w:lineRule="auto"/>
        <w:ind w:left="60"/>
        <w:rPr>
          <w:rFonts w:hint="default"/>
          <w:lang w:val="en-US" w:eastAsia="zh-CN"/>
        </w:rPr>
      </w:pPr>
      <w:r>
        <w:rPr>
          <w:rFonts w:hint="eastAsia"/>
          <w:lang w:val="en-US" w:eastAsia="zh-CN"/>
        </w:rPr>
        <w:t>行政执法机关与刑事司法机关之间相互移送涉嫌犯罪案件的工作机制。</w:t>
      </w:r>
    </w:p>
    <w:p w14:paraId="66E06E37">
      <w:pPr>
        <w:pStyle w:val="54"/>
        <w:numPr>
          <w:ilvl w:val="0"/>
          <w:numId w:val="36"/>
        </w:numPr>
        <w:rPr>
          <w:rFonts w:hint="eastAsia" w:ascii="宋体" w:eastAsia="宋体"/>
          <w:highlight w:val="none"/>
          <w:lang w:val="en-US" w:eastAsia="zh-CN"/>
        </w:rPr>
      </w:pPr>
      <w:r>
        <w:rPr>
          <w:rFonts w:hint="eastAsia" w:ascii="宋体" w:eastAsia="宋体"/>
          <w:highlight w:val="none"/>
          <w:lang w:val="en-US" w:eastAsia="zh-CN"/>
        </w:rPr>
        <w:t>又叫“两法衔接”，是“行政执法和刑事司法相衔接”的简称。</w:t>
      </w:r>
    </w:p>
    <w:p w14:paraId="1C366316">
      <w:pPr>
        <w:pStyle w:val="54"/>
        <w:numPr>
          <w:ilvl w:val="0"/>
          <w:numId w:val="36"/>
        </w:numPr>
        <w:rPr>
          <w:rFonts w:hint="eastAsia" w:ascii="宋体" w:eastAsia="宋体"/>
          <w:highlight w:val="none"/>
          <w:lang w:val="en-US" w:eastAsia="zh-CN"/>
        </w:rPr>
      </w:pPr>
      <w:r>
        <w:rPr>
          <w:rFonts w:hint="eastAsia"/>
          <w:highlight w:val="none"/>
          <w:lang w:val="en-US" w:eastAsia="zh-CN"/>
        </w:rPr>
        <w:t>行政执法机关向刑事司法机关移送案件称为“正向行刑衔接”，反之称为“反向行刑衔接”。</w:t>
      </w:r>
    </w:p>
    <w:p w14:paraId="2662183F">
      <w:pPr>
        <w:pStyle w:val="36"/>
        <w:spacing w:before="1" w:afterLines="0" w:line="220" w:lineRule="auto"/>
        <w:ind w:left="0" w:hangingChars="200"/>
        <w:rPr>
          <w:rFonts w:hint="default"/>
          <w:lang w:val="en-US" w:eastAsia="zh-CN"/>
        </w:rPr>
      </w:pPr>
    </w:p>
    <w:p w14:paraId="38D2F023">
      <w:pPr>
        <w:numPr>
          <w:ilvl w:val="0"/>
          <w:numId w:val="0"/>
        </w:numPr>
        <w:spacing w:before="1" w:line="240" w:lineRule="auto"/>
        <w:ind w:left="62" w:firstLine="420" w:firstLineChars="200"/>
        <w:rPr>
          <w:rFonts w:hint="eastAsia" w:ascii="黑体" w:hAnsi="黑体" w:eastAsia="黑体" w:cs="黑体"/>
          <w:spacing w:val="0"/>
          <w:position w:val="0"/>
          <w:highlight w:val="cyan"/>
        </w:rPr>
      </w:pPr>
      <w:r>
        <w:rPr>
          <w:rFonts w:hint="eastAsia" w:ascii="黑体" w:hAnsi="黑体" w:eastAsia="黑体" w:cs="黑体"/>
          <w:color w:val="auto"/>
          <w:spacing w:val="0"/>
          <w:position w:val="0"/>
        </w:rPr>
        <w:t>行政处罚决定</w:t>
      </w:r>
      <w:r>
        <w:rPr>
          <w:rFonts w:hint="eastAsia" w:ascii="黑体" w:hAnsi="黑体" w:eastAsia="黑体" w:cs="黑体"/>
          <w:color w:val="auto"/>
          <w:spacing w:val="0"/>
          <w:position w:val="0"/>
          <w:lang w:val="en-US" w:eastAsia="zh-CN"/>
        </w:rPr>
        <w:t xml:space="preserve"> decision of administrative penalty</w:t>
      </w:r>
    </w:p>
    <w:p w14:paraId="6E85C39B">
      <w:pPr>
        <w:numPr>
          <w:ilvl w:val="-1"/>
          <w:numId w:val="0"/>
        </w:numPr>
        <w:spacing w:line="240" w:lineRule="auto"/>
        <w:ind w:firstLine="420" w:firstLineChars="200"/>
        <w:rPr>
          <w:rFonts w:hint="default"/>
          <w:spacing w:val="0"/>
          <w:lang w:val="en-US" w:eastAsia="zh-CN"/>
        </w:rPr>
      </w:pPr>
      <w:r>
        <w:rPr>
          <w:color w:val="auto"/>
          <w:spacing w:val="0"/>
          <w:position w:val="0"/>
        </w:rPr>
        <w:t>行政机关依法对违反行政管理秩序</w:t>
      </w:r>
      <w:r>
        <w:rPr>
          <w:color w:val="auto"/>
          <w:position w:val="0"/>
        </w:rPr>
        <w:t>的公民、法</w:t>
      </w:r>
      <w:r>
        <w:rPr>
          <w:color w:val="auto"/>
          <w:spacing w:val="0"/>
        </w:rPr>
        <w:t>人或者其他组织，以减损权益或者增加义务的方式予以惩戒的行为。</w:t>
      </w:r>
    </w:p>
    <w:p w14:paraId="7AEF1D77">
      <w:pPr>
        <w:pStyle w:val="47"/>
        <w:spacing w:before="157" w:beforeLines="50" w:after="157" w:afterLines="50"/>
        <w:ind w:left="420" w:hanging="420" w:hangingChars="200"/>
        <w:outlineLvl w:val="0"/>
        <w:rPr>
          <w:rFonts w:hint="eastAsia" w:ascii="黑体" w:hAnsi="黑体" w:eastAsia="黑体"/>
          <w:highlight w:val="none"/>
          <w:lang w:val="en-US" w:eastAsia="zh-CN"/>
        </w:rPr>
      </w:pPr>
      <w:bookmarkStart w:id="258" w:name="_Toc1160160034"/>
      <w:bookmarkStart w:id="259" w:name="_Toc1508255592"/>
      <w:bookmarkStart w:id="260" w:name="_Toc1530848143"/>
      <w:bookmarkStart w:id="261" w:name="_Toc1791013196"/>
      <w:bookmarkStart w:id="262" w:name="_Toc381208893"/>
      <w:bookmarkStart w:id="263" w:name="_Toc1400267973"/>
      <w:bookmarkStart w:id="264" w:name="_Toc1920888796"/>
      <w:r>
        <w:rPr>
          <w:rFonts w:hint="eastAsia" w:ascii="黑体" w:hAnsi="黑体" w:eastAsia="黑体"/>
          <w:highlight w:val="none"/>
          <w:lang w:val="en-US" w:eastAsia="zh-CN"/>
        </w:rPr>
        <w:t>数据管理相关术语</w:t>
      </w:r>
      <w:bookmarkEnd w:id="258"/>
      <w:bookmarkEnd w:id="259"/>
      <w:bookmarkEnd w:id="260"/>
      <w:bookmarkEnd w:id="261"/>
      <w:bookmarkEnd w:id="262"/>
      <w:bookmarkEnd w:id="263"/>
      <w:bookmarkEnd w:id="264"/>
    </w:p>
    <w:p w14:paraId="2775EEC5">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65" w:name="_Toc1256329021"/>
      <w:bookmarkEnd w:id="265"/>
      <w:bookmarkStart w:id="266" w:name="_Toc1153292054"/>
      <w:bookmarkEnd w:id="266"/>
      <w:bookmarkStart w:id="267" w:name="_Toc354765556"/>
      <w:bookmarkEnd w:id="267"/>
    </w:p>
    <w:p w14:paraId="4CBA2216">
      <w:pPr>
        <w:pStyle w:val="37"/>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数据 data</w:t>
      </w:r>
    </w:p>
    <w:p w14:paraId="0852A112">
      <w:pPr>
        <w:pStyle w:val="37"/>
        <w:ind w:firstLine="420"/>
        <w:rPr>
          <w:rFonts w:hint="eastAsia" w:eastAsia="宋体"/>
          <w:highlight w:val="none"/>
          <w:lang w:val="en-US" w:eastAsia="zh-CN"/>
        </w:rPr>
      </w:pPr>
      <w:r>
        <w:rPr>
          <w:rFonts w:hint="eastAsia"/>
          <w:highlight w:val="none"/>
          <w:lang w:val="en-US" w:eastAsia="zh-CN"/>
        </w:rPr>
        <w:t>事实或观察的结果。</w:t>
      </w:r>
    </w:p>
    <w:p w14:paraId="42C93A7F">
      <w:pPr>
        <w:pStyle w:val="54"/>
        <w:numPr>
          <w:ilvl w:val="0"/>
          <w:numId w:val="36"/>
        </w:numPr>
        <w:rPr>
          <w:rFonts w:hint="eastAsia" w:ascii="宋体" w:eastAsia="宋体"/>
          <w:highlight w:val="none"/>
          <w:lang w:val="en-US" w:eastAsia="zh-CN"/>
        </w:rPr>
      </w:pPr>
      <w:r>
        <w:rPr>
          <w:rFonts w:hint="eastAsia" w:ascii="宋体" w:eastAsia="宋体"/>
          <w:highlight w:val="none"/>
          <w:lang w:val="en-US" w:eastAsia="zh-CN"/>
        </w:rPr>
        <w:t>数据是对客观事物的逻辑归纳，是用于表示客观事物的未经加工的原始素材，是对真实世界（包括对象、事件、概念等）的一种符号化描述。</w:t>
      </w:r>
    </w:p>
    <w:p w14:paraId="053C5572">
      <w:pPr>
        <w:pStyle w:val="54"/>
        <w:numPr>
          <w:ilvl w:val="0"/>
          <w:numId w:val="36"/>
        </w:numPr>
        <w:rPr>
          <w:rFonts w:hint="eastAsia" w:ascii="宋体" w:hAnsi="Times New Roman" w:eastAsia="宋体" w:cs="Times New Roman"/>
          <w:highlight w:val="none"/>
          <w:lang w:val="en-US" w:eastAsia="zh-CN"/>
        </w:rPr>
      </w:pPr>
      <w:r>
        <w:rPr>
          <w:rFonts w:hint="eastAsia" w:ascii="宋体" w:eastAsia="宋体"/>
          <w:highlight w:val="none"/>
          <w:lang w:val="en-US" w:eastAsia="zh-CN"/>
        </w:rPr>
        <w:t>数据可以是连续的值，比如声音、图像，称为模拟数据；也可以是离散的，如符号、文字，称为数字数据。</w:t>
      </w:r>
    </w:p>
    <w:p w14:paraId="2409DEDF">
      <w:pPr>
        <w:pStyle w:val="54"/>
        <w:numPr>
          <w:ilvl w:val="0"/>
          <w:numId w:val="36"/>
        </w:numPr>
        <w:rPr>
          <w:rFonts w:hint="eastAsia" w:ascii="宋体" w:eastAsia="宋体"/>
          <w:highlight w:val="none"/>
          <w:lang w:val="en-US" w:eastAsia="zh-CN"/>
        </w:rPr>
      </w:pPr>
      <w:r>
        <w:rPr>
          <w:rFonts w:hint="eastAsia" w:ascii="宋体" w:hAnsi="Times New Roman" w:eastAsia="宋体" w:cs="Times New Roman"/>
          <w:highlight w:val="none"/>
          <w:lang w:val="en-US" w:eastAsia="zh-CN"/>
        </w:rPr>
        <w:t>本文件所提数据指日常</w:t>
      </w:r>
      <w:r>
        <w:rPr>
          <w:rFonts w:hint="eastAsia" w:ascii="宋体" w:eastAsia="宋体"/>
          <w:highlight w:val="none"/>
          <w:lang w:val="en-US" w:eastAsia="zh-CN"/>
        </w:rPr>
        <w:t>检查过程产生的各类数据。</w:t>
      </w:r>
    </w:p>
    <w:p w14:paraId="04C6E3FF">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eastAsia" w:ascii="黑体" w:hAnsi="黑体" w:eastAsia="黑体"/>
          <w:highlight w:val="none"/>
          <w:lang w:val="en-US" w:eastAsia="zh-CN"/>
        </w:rPr>
      </w:pPr>
      <w:bookmarkStart w:id="268" w:name="_Toc1062638643"/>
      <w:bookmarkEnd w:id="268"/>
      <w:bookmarkStart w:id="269" w:name="_Toc192153756"/>
      <w:bookmarkEnd w:id="269"/>
      <w:bookmarkStart w:id="270" w:name="_Toc1130095620"/>
      <w:bookmarkEnd w:id="270"/>
    </w:p>
    <w:p w14:paraId="2CF06652">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原</w:t>
      </w:r>
      <w:r>
        <w:rPr>
          <w:rFonts w:hint="eastAsia" w:ascii="黑体" w:hAnsi="黑体" w:eastAsia="黑体" w:cs="Times New Roman"/>
          <w:kern w:val="0"/>
          <w:sz w:val="21"/>
          <w:szCs w:val="20"/>
          <w:highlight w:val="none"/>
          <w:lang w:val="en-US" w:eastAsia="zh-CN" w:bidi="ar-SA"/>
        </w:rPr>
        <w:t>始数据 raw data</w:t>
      </w:r>
    </w:p>
    <w:p w14:paraId="2776D8B4">
      <w:pPr>
        <w:pStyle w:val="37"/>
        <w:ind w:firstLine="420"/>
        <w:rPr>
          <w:rFonts w:hint="eastAsia"/>
          <w:highlight w:val="none"/>
          <w:lang w:val="en-US" w:eastAsia="zh-CN"/>
        </w:rPr>
      </w:pPr>
      <w:r>
        <w:rPr>
          <w:rFonts w:hint="eastAsia"/>
          <w:highlight w:val="none"/>
          <w:lang w:val="en-US" w:eastAsia="zh-CN"/>
        </w:rPr>
        <w:t>初次或源头采集的、未经处理的数据。</w:t>
      </w:r>
    </w:p>
    <w:p w14:paraId="07024ADF">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271" w:name="_Toc1860255651"/>
      <w:bookmarkEnd w:id="271"/>
      <w:bookmarkStart w:id="272" w:name="_Toc1171711272"/>
      <w:bookmarkEnd w:id="272"/>
      <w:bookmarkStart w:id="273" w:name="_Toc1293664449"/>
      <w:bookmarkEnd w:id="273"/>
    </w:p>
    <w:p w14:paraId="780ADAE3">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rPr>
          <w:rFonts w:hint="eastAsia"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元数据 metadata</w:t>
      </w:r>
    </w:p>
    <w:p w14:paraId="17A53A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0" w:right="0" w:firstLine="420" w:firstLineChars="200"/>
        <w:jc w:val="both"/>
        <w:textAlignment w:val="auto"/>
        <w:rPr>
          <w:rFonts w:hint="eastAsia"/>
          <w:lang w:val="en-US" w:eastAsia="zh-CN"/>
        </w:rPr>
      </w:pPr>
      <w:r>
        <w:rPr>
          <w:rFonts w:hint="eastAsia"/>
          <w:lang w:val="en-US" w:eastAsia="zh-CN"/>
        </w:rPr>
        <w:t>用来定义和描述数据的数据。</w:t>
      </w:r>
    </w:p>
    <w:p w14:paraId="339EAD0C">
      <w:pPr>
        <w:pStyle w:val="49"/>
        <w:rPr>
          <w:rFonts w:hint="default" w:ascii="宋体" w:eastAsia="宋体"/>
          <w:b w:val="0"/>
          <w:bCs w:val="0"/>
          <w:highlight w:val="none"/>
          <w:lang w:val="en-US" w:eastAsia="zh-CN"/>
        </w:rPr>
      </w:pPr>
      <w:r>
        <w:rPr>
          <w:rFonts w:hint="eastAsia" w:ascii="宋体" w:eastAsia="宋体"/>
          <w:b w:val="0"/>
          <w:bCs w:val="0"/>
          <w:highlight w:val="none"/>
          <w:lang w:val="en-US" w:eastAsia="zh-CN"/>
        </w:rPr>
        <w:t>通过定义和描述数据，</w:t>
      </w:r>
      <w:r>
        <w:rPr>
          <w:rFonts w:hint="default" w:ascii="宋体" w:eastAsia="宋体"/>
          <w:b w:val="0"/>
          <w:bCs w:val="0"/>
          <w:highlight w:val="none"/>
          <w:lang w:val="en-US" w:eastAsia="zh-CN"/>
        </w:rPr>
        <w:t>可以支持对其所描述的数据对象的定位、查询、交换、追踪、访问控制、评价和保存等诸多管理工作。</w:t>
      </w:r>
    </w:p>
    <w:p w14:paraId="15D1C7EA">
      <w:pPr>
        <w:pStyle w:val="36"/>
        <w:keepNext w:val="0"/>
        <w:keepLines w:val="0"/>
        <w:pageBreakBefore w:val="0"/>
        <w:widowControl w:val="0"/>
        <w:kinsoku/>
        <w:wordWrap/>
        <w:overflowPunct/>
        <w:topLinePunct w:val="0"/>
        <w:autoSpaceDE/>
        <w:autoSpaceDN/>
        <w:bidi w:val="0"/>
        <w:adjustRightInd/>
        <w:snapToGrid/>
        <w:spacing w:afterLines="0"/>
        <w:ind w:left="0" w:hangingChars="200"/>
        <w:textAlignment w:val="auto"/>
        <w:rPr>
          <w:rFonts w:hint="default" w:ascii="黑体" w:hAnsi="黑体" w:eastAsia="黑体"/>
          <w:highlight w:val="none"/>
          <w:lang w:val="en-US" w:eastAsia="zh-CN"/>
        </w:rPr>
      </w:pPr>
      <w:bookmarkStart w:id="274" w:name="_Toc526305514"/>
      <w:bookmarkEnd w:id="274"/>
      <w:bookmarkStart w:id="275" w:name="_Toc102309684"/>
      <w:bookmarkEnd w:id="275"/>
      <w:bookmarkStart w:id="276" w:name="_Toc1493952115"/>
      <w:bookmarkEnd w:id="276"/>
    </w:p>
    <w:p w14:paraId="496F4FC4">
      <w:pPr>
        <w:keepNext w:val="0"/>
        <w:keepLines w:val="0"/>
        <w:pageBreakBefore w:val="0"/>
        <w:widowControl/>
        <w:suppressLineNumbers w:val="0"/>
        <w:kinsoku/>
        <w:wordWrap/>
        <w:overflowPunct/>
        <w:topLinePunct w:val="0"/>
        <w:autoSpaceDE/>
        <w:autoSpaceDN/>
        <w:bidi w:val="0"/>
        <w:adjustRightInd w:val="0"/>
        <w:snapToGrid/>
        <w:spacing w:line="240" w:lineRule="auto"/>
        <w:ind w:firstLine="420" w:firstLineChars="200"/>
        <w:jc w:val="left"/>
        <w:textAlignment w:val="auto"/>
        <w:rPr>
          <w:rFonts w:hint="default" w:ascii="黑体" w:hAnsi="黑体" w:eastAsia="黑体" w:cs="Times New Roman"/>
          <w:sz w:val="21"/>
          <w:highlight w:val="none"/>
          <w:lang w:val="en-US" w:eastAsia="zh-CN" w:bidi="ar-SA"/>
        </w:rPr>
      </w:pPr>
      <w:r>
        <w:rPr>
          <w:rFonts w:hint="eastAsia" w:ascii="黑体" w:hAnsi="黑体" w:eastAsia="黑体" w:cs="Times New Roman"/>
          <w:sz w:val="21"/>
          <w:highlight w:val="none"/>
          <w:lang w:val="en-US" w:eastAsia="zh-CN" w:bidi="ar-SA"/>
        </w:rPr>
        <w:t>记录 record</w:t>
      </w:r>
    </w:p>
    <w:p w14:paraId="2A602A16">
      <w:pPr>
        <w:pStyle w:val="37"/>
        <w:rPr>
          <w:rFonts w:hint="default" w:ascii="Calibri" w:hAnsi="Calibri" w:eastAsia="宋体" w:cs="Times New Roman"/>
          <w:kern w:val="2"/>
          <w:sz w:val="21"/>
          <w:szCs w:val="21"/>
          <w:highlight w:val="none"/>
          <w:lang w:val="en-US" w:eastAsia="zh-CN" w:bidi="ar-SA"/>
        </w:rPr>
      </w:pPr>
      <w:r>
        <w:rPr>
          <w:rFonts w:hint="default" w:ascii="Calibri" w:hAnsi="Calibri" w:eastAsia="宋体" w:cs="Times New Roman"/>
          <w:kern w:val="2"/>
          <w:sz w:val="21"/>
          <w:szCs w:val="21"/>
          <w:highlight w:val="none"/>
          <w:lang w:val="en-US" w:eastAsia="zh-CN" w:bidi="ar-SA"/>
        </w:rPr>
        <w:t>反映相关活动执行过程与结果的凭证。</w:t>
      </w:r>
    </w:p>
    <w:p w14:paraId="3255BBB6">
      <w:pPr>
        <w:pStyle w:val="54"/>
        <w:keepNext w:val="0"/>
        <w:keepLines w:val="0"/>
        <w:pageBreakBefore w:val="0"/>
        <w:numPr>
          <w:ilvl w:val="0"/>
          <w:numId w:val="37"/>
        </w:numPr>
        <w:kinsoku/>
        <w:wordWrap/>
        <w:overflowPunct/>
        <w:topLinePunct w:val="0"/>
        <w:bidi w:val="0"/>
        <w:adjustRightInd/>
        <w:snapToGrid/>
        <w:spacing w:line="240" w:lineRule="auto"/>
        <w:jc w:val="left"/>
        <w:textAlignment w:val="auto"/>
        <w:rPr>
          <w:rFonts w:hint="eastAsia" w:ascii="宋体" w:hAnsi="Times New Roman" w:eastAsia="宋体" w:cs="Times New Roman"/>
          <w:kern w:val="0"/>
          <w:sz w:val="18"/>
          <w:szCs w:val="18"/>
          <w:highlight w:val="none"/>
          <w:lang w:val="en-US" w:eastAsia="zh-CN" w:bidi="ar-SA"/>
        </w:rPr>
      </w:pPr>
      <w:r>
        <w:rPr>
          <w:rFonts w:hint="eastAsia" w:ascii="宋体" w:hAnsi="Times New Roman" w:eastAsia="宋体" w:cs="Times New Roman"/>
          <w:kern w:val="0"/>
          <w:sz w:val="18"/>
          <w:szCs w:val="18"/>
          <w:highlight w:val="none"/>
          <w:lang w:val="en-US" w:eastAsia="zh-CN" w:bidi="ar-SA"/>
        </w:rPr>
        <w:t>根据用途，</w:t>
      </w:r>
      <w:r>
        <w:rPr>
          <w:rFonts w:hint="eastAsia" w:ascii="宋体" w:eastAsia="宋体" w:cs="Times New Roman"/>
          <w:kern w:val="0"/>
          <w:sz w:val="18"/>
          <w:szCs w:val="18"/>
          <w:highlight w:val="none"/>
          <w:lang w:val="en-US" w:eastAsia="zh-CN" w:bidi="ar-SA"/>
        </w:rPr>
        <w:t>记录可</w:t>
      </w:r>
      <w:r>
        <w:rPr>
          <w:rFonts w:hint="eastAsia" w:ascii="宋体" w:hAnsi="Times New Roman" w:eastAsia="宋体" w:cs="Times New Roman"/>
          <w:kern w:val="0"/>
          <w:sz w:val="18"/>
          <w:szCs w:val="18"/>
          <w:highlight w:val="none"/>
          <w:lang w:val="en-US" w:eastAsia="zh-CN" w:bidi="ar-SA"/>
        </w:rPr>
        <w:t>分为台账、日志、标识、流程、报告等不同类型</w:t>
      </w:r>
      <w:r>
        <w:rPr>
          <w:rFonts w:hint="eastAsia" w:ascii="宋体" w:eastAsia="宋体" w:cs="Times New Roman"/>
          <w:kern w:val="0"/>
          <w:sz w:val="18"/>
          <w:szCs w:val="18"/>
          <w:highlight w:val="none"/>
          <w:lang w:val="en-US" w:eastAsia="zh-CN" w:bidi="ar-SA"/>
        </w:rPr>
        <w:t>。</w:t>
      </w:r>
    </w:p>
    <w:p w14:paraId="76278389">
      <w:pPr>
        <w:pStyle w:val="54"/>
        <w:numPr>
          <w:ilvl w:val="0"/>
          <w:numId w:val="35"/>
        </w:numPr>
        <w:rPr>
          <w:rFonts w:hint="eastAsia" w:ascii="宋体" w:eastAsia="宋体"/>
          <w:highlight w:val="none"/>
          <w:lang w:val="en-US" w:eastAsia="zh-CN"/>
        </w:rPr>
      </w:pPr>
      <w:r>
        <w:rPr>
          <w:rFonts w:hint="eastAsia" w:ascii="宋体" w:eastAsia="宋体" w:cs="Times New Roman"/>
          <w:kern w:val="0"/>
          <w:sz w:val="18"/>
          <w:szCs w:val="18"/>
          <w:highlight w:val="none"/>
          <w:lang w:val="en-US" w:eastAsia="zh-CN" w:bidi="ar-SA"/>
        </w:rPr>
        <w:t>对被检查单位言，记录是</w:t>
      </w:r>
      <w:r>
        <w:rPr>
          <w:rFonts w:hint="eastAsia" w:ascii="宋体" w:hAnsi="Times New Roman" w:eastAsia="宋体" w:cs="Times New Roman"/>
          <w:kern w:val="0"/>
          <w:sz w:val="18"/>
          <w:szCs w:val="18"/>
          <w:highlight w:val="none"/>
          <w:lang w:val="en-US" w:eastAsia="zh-CN" w:bidi="ar-SA"/>
        </w:rPr>
        <w:t>产品研制、生产、经营、使用活动中产生的</w:t>
      </w:r>
      <w:r>
        <w:rPr>
          <w:rFonts w:hint="eastAsia" w:ascii="宋体" w:eastAsia="宋体" w:cs="Times New Roman"/>
          <w:kern w:val="0"/>
          <w:sz w:val="18"/>
          <w:szCs w:val="18"/>
          <w:highlight w:val="none"/>
          <w:lang w:val="en-US" w:eastAsia="zh-CN" w:bidi="ar-SA"/>
        </w:rPr>
        <w:t>凭证，对检查</w:t>
      </w:r>
      <w:r>
        <w:rPr>
          <w:rFonts w:hint="eastAsia" w:cs="Times New Roman"/>
          <w:kern w:val="0"/>
          <w:sz w:val="18"/>
          <w:szCs w:val="18"/>
          <w:highlight w:val="none"/>
          <w:lang w:val="en-US" w:eastAsia="zh-CN" w:bidi="ar-SA"/>
        </w:rPr>
        <w:t>派出</w:t>
      </w:r>
      <w:r>
        <w:rPr>
          <w:rFonts w:hint="eastAsia" w:ascii="宋体" w:eastAsia="宋体" w:cs="Times New Roman"/>
          <w:kern w:val="0"/>
          <w:sz w:val="18"/>
          <w:szCs w:val="18"/>
          <w:highlight w:val="none"/>
          <w:lang w:val="en-US" w:eastAsia="zh-CN" w:bidi="ar-SA"/>
        </w:rPr>
        <w:t>单位而言，记录是日常检查全过程产生的凭证。</w:t>
      </w:r>
    </w:p>
    <w:p w14:paraId="7644CDE4">
      <w:pPr>
        <w:pStyle w:val="54"/>
        <w:keepNext w:val="0"/>
        <w:keepLines w:val="0"/>
        <w:pageBreakBefore w:val="0"/>
        <w:numPr>
          <w:ilvl w:val="-1"/>
          <w:numId w:val="0"/>
        </w:numPr>
        <w:kinsoku/>
        <w:wordWrap/>
        <w:overflowPunct/>
        <w:topLinePunct w:val="0"/>
        <w:bidi w:val="0"/>
        <w:adjustRightInd/>
        <w:snapToGrid/>
        <w:spacing w:line="240" w:lineRule="auto"/>
        <w:ind w:left="363" w:firstLine="0"/>
        <w:jc w:val="left"/>
        <w:textAlignment w:val="auto"/>
        <w:rPr>
          <w:rFonts w:hint="eastAsia" w:ascii="宋体" w:hAnsi="Times New Roman" w:eastAsia="宋体" w:cs="Times New Roman"/>
          <w:kern w:val="0"/>
          <w:sz w:val="18"/>
          <w:szCs w:val="18"/>
          <w:highlight w:val="none"/>
          <w:lang w:val="en-US" w:eastAsia="zh-CN" w:bidi="ar-SA"/>
        </w:rPr>
      </w:pPr>
    </w:p>
    <w:p w14:paraId="1D3CD7CB">
      <w:pPr>
        <w:pStyle w:val="54"/>
        <w:numPr>
          <w:ilvl w:val="0"/>
          <w:numId w:val="0"/>
        </w:numPr>
        <w:ind w:left="0" w:leftChars="0"/>
        <w:rPr>
          <w:rFonts w:hint="eastAsia" w:ascii="宋体" w:eastAsia="宋体"/>
          <w:highlight w:val="none"/>
          <w:lang w:val="en-US" w:eastAsia="zh-CN"/>
        </w:rPr>
      </w:pPr>
    </w:p>
    <w:p w14:paraId="2C9296F1">
      <w:pPr>
        <w:pStyle w:val="54"/>
        <w:numPr>
          <w:ilvl w:val="0"/>
          <w:numId w:val="0"/>
        </w:numPr>
        <w:ind w:left="0" w:leftChars="0"/>
        <w:rPr>
          <w:rFonts w:hint="eastAsia" w:ascii="宋体" w:eastAsia="宋体"/>
          <w:highlight w:val="none"/>
          <w:lang w:val="en-US" w:eastAsia="zh-CN"/>
        </w:rPr>
      </w:pPr>
    </w:p>
    <w:p w14:paraId="39D795EA">
      <w:pPr>
        <w:pStyle w:val="54"/>
        <w:numPr>
          <w:ilvl w:val="0"/>
          <w:numId w:val="0"/>
        </w:numPr>
        <w:ind w:left="0" w:leftChars="0"/>
        <w:rPr>
          <w:rFonts w:hint="eastAsia" w:ascii="宋体" w:eastAsia="宋体"/>
          <w:highlight w:val="none"/>
          <w:lang w:val="en-US" w:eastAsia="zh-CN"/>
        </w:rPr>
      </w:pPr>
    </w:p>
    <w:p w14:paraId="6A1E7BE9">
      <w:pPr>
        <w:pStyle w:val="54"/>
        <w:numPr>
          <w:ilvl w:val="0"/>
          <w:numId w:val="0"/>
        </w:numPr>
        <w:ind w:left="0" w:leftChars="0"/>
        <w:jc w:val="center"/>
        <w:outlineLvl w:val="0"/>
        <w:rPr>
          <w:rFonts w:hint="eastAsia" w:ascii="黑体" w:hAnsi="黑体" w:eastAsia="黑体"/>
          <w:kern w:val="2"/>
          <w:sz w:val="21"/>
          <w:szCs w:val="21"/>
          <w:highlight w:val="none"/>
          <w:lang w:val="en-US" w:eastAsia="zh-CN"/>
        </w:rPr>
        <w:sectPr>
          <w:footerReference r:id="rId13" w:type="default"/>
          <w:pgSz w:w="11906" w:h="16838"/>
          <w:pgMar w:top="1928" w:right="1134" w:bottom="1134" w:left="1134" w:header="1418" w:footer="1134" w:gutter="284"/>
          <w:pgNumType w:fmt="decimal" w:start="1"/>
          <w:cols w:space="425" w:num="1"/>
          <w:formProt w:val="0"/>
          <w:docGrid w:type="lines" w:linePitch="312" w:charSpace="0"/>
        </w:sectPr>
      </w:pPr>
      <w:bookmarkStart w:id="277" w:name="_Toc280505173"/>
      <w:bookmarkStart w:id="278" w:name="_Toc2110648341"/>
      <w:bookmarkStart w:id="279" w:name="_Toc30534738"/>
      <w:bookmarkStart w:id="280" w:name="_Toc131631805"/>
      <w:bookmarkStart w:id="281" w:name="_Toc1034145650"/>
      <w:bookmarkStart w:id="282" w:name="_Toc1805660325"/>
      <w:bookmarkStart w:id="283" w:name="_Toc474396081"/>
    </w:p>
    <w:p w14:paraId="66085CED">
      <w:pPr>
        <w:pStyle w:val="54"/>
        <w:numPr>
          <w:ilvl w:val="0"/>
          <w:numId w:val="0"/>
        </w:numPr>
        <w:ind w:left="0" w:leftChars="0"/>
        <w:jc w:val="center"/>
        <w:outlineLvl w:val="0"/>
        <w:rPr>
          <w:rFonts w:hint="eastAsia" w:ascii="黑体" w:hAnsi="黑体" w:eastAsia="黑体"/>
          <w:kern w:val="2"/>
          <w:sz w:val="21"/>
          <w:szCs w:val="21"/>
          <w:highlight w:val="none"/>
          <w:lang w:val="en-US" w:eastAsia="zh-CN"/>
        </w:rPr>
      </w:pPr>
      <w:r>
        <w:rPr>
          <w:rFonts w:hint="eastAsia" w:ascii="黑体" w:hAnsi="黑体" w:eastAsia="黑体"/>
          <w:kern w:val="2"/>
          <w:sz w:val="21"/>
          <w:szCs w:val="21"/>
          <w:highlight w:val="none"/>
          <w:lang w:val="en-US" w:eastAsia="zh-CN"/>
        </w:rPr>
        <w:t>参 考 文 献</w:t>
      </w:r>
      <w:bookmarkEnd w:id="277"/>
      <w:bookmarkEnd w:id="278"/>
      <w:bookmarkEnd w:id="279"/>
      <w:bookmarkEnd w:id="280"/>
      <w:bookmarkEnd w:id="281"/>
      <w:bookmarkEnd w:id="282"/>
      <w:bookmarkEnd w:id="283"/>
    </w:p>
    <w:p w14:paraId="4BB67157">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1</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《中华人民共和国药品管理法》（中华人民共和国主席令第31号）</w:t>
      </w:r>
    </w:p>
    <w:p w14:paraId="67D6DDC9">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2</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《中华人民共和国疫苗管理法》（中华人民共和国主席令第30号）</w:t>
      </w:r>
    </w:p>
    <w:p w14:paraId="32C1D686">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3</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《中华人民共和国药品管理法实施条例》（中华人民共和国国务院令（2002年）第360号）</w:t>
      </w:r>
    </w:p>
    <w:p w14:paraId="5BD1BF94">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4</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《药品经营和使用质量监督管理办法》（国家市场监督管理总局令第84号）</w:t>
      </w:r>
    </w:p>
    <w:p w14:paraId="110271D4">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5</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《药品医疗器械飞行检查办法》（国家食品药品监督管理总局令第14号）</w:t>
      </w:r>
    </w:p>
    <w:p w14:paraId="58F77D5C">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6</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《药品检查管理办法（试行）》（国药监药管〔2023〕26号）</w:t>
      </w:r>
    </w:p>
    <w:p w14:paraId="71E4D167">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7</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《药品经营质量管理规范》（国家食品药品监督管理总局令第28号）</w:t>
      </w:r>
    </w:p>
    <w:p w14:paraId="592F278E">
      <w:pPr>
        <w:pStyle w:val="54"/>
        <w:numPr>
          <w:ilvl w:val="0"/>
          <w:numId w:val="0"/>
        </w:numPr>
        <w:ind w:left="0" w:leftChars="0"/>
        <w:rPr>
          <w:rFonts w:hint="eastAsia" w:ascii="Calibri" w:hAnsi="Calibri" w:eastAsia="宋体"/>
          <w:kern w:val="2"/>
          <w:sz w:val="21"/>
          <w:szCs w:val="21"/>
          <w:highlight w:val="none"/>
          <w:lang w:val="en-US" w:eastAsia="zh-CN"/>
        </w:rPr>
      </w:pPr>
      <w:r>
        <w:rPr>
          <w:rFonts w:hint="eastAsia" w:ascii="Calibri" w:hAnsi="Calibri" w:eastAsia="宋体"/>
          <w:kern w:val="2"/>
          <w:sz w:val="21"/>
          <w:szCs w:val="21"/>
          <w:highlight w:val="none"/>
          <w:lang w:val="en-US" w:eastAsia="zh-CN"/>
        </w:rPr>
        <w:t>　</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8</w:t>
      </w:r>
      <w:r>
        <w:rPr>
          <w:rFonts w:hint="default" w:ascii="Calibri" w:hAnsi="Calibri" w:eastAsia="宋体"/>
          <w:kern w:val="2"/>
          <w:sz w:val="21"/>
          <w:szCs w:val="21"/>
          <w:lang w:val="en-US" w:eastAsia="zh-CN"/>
        </w:rPr>
        <w:t>]</w:t>
      </w:r>
      <w:r>
        <w:rPr>
          <w:rFonts w:hint="eastAsia" w:ascii="Calibri" w:hAnsi="Calibri" w:eastAsia="宋体"/>
          <w:kern w:val="2"/>
          <w:sz w:val="21"/>
          <w:szCs w:val="21"/>
          <w:highlight w:val="none"/>
          <w:lang w:val="en-US" w:eastAsia="zh-CN"/>
        </w:rPr>
        <w:t>《药品经营质量管理规范现场检查指导原则（2016版）》（食药监药化监〔2016〕160号）</w:t>
      </w:r>
    </w:p>
    <w:sectPr>
      <w:pgSz w:w="11906" w:h="16838"/>
      <w:pgMar w:top="1928" w:right="1134" w:bottom="1134" w:left="1134" w:header="1418" w:footer="1134" w:gutter="284"/>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03E72">
    <w:pPr>
      <w:pStyle w:val="17"/>
    </w:pPr>
    <w:r>
      <w:rPr>
        <w:sz w:val="18"/>
      </w:rPr>
      <w:pict>
        <v:shape id="_x0000_s2054" o:spid="_x0000_s2054"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C87065A">
                <w:pPr>
                  <w:snapToGrid w:val="0"/>
                  <w:rPr>
                    <w:sz w:val="18"/>
                  </w:rPr>
                </w:pPr>
                <w:r>
                  <w:rPr>
                    <w:sz w:val="18"/>
                  </w:rPr>
                  <w:fldChar w:fldCharType="begin"/>
                </w:r>
                <w:r>
                  <w:rPr>
                    <w:sz w:val="18"/>
                  </w:rPr>
                  <w:instrText xml:space="preserve"> PAGE  \* MERGEFORMAT </w:instrText>
                </w:r>
                <w:r>
                  <w:rPr>
                    <w:sz w:val="18"/>
                  </w:rPr>
                  <w:fldChar w:fldCharType="separate"/>
                </w:r>
                <w:r>
                  <w:rPr>
                    <w:sz w:val="18"/>
                  </w:rPr>
                  <w:t>I</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97FB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2DD54">
    <w:pPr>
      <w:pStyle w:val="17"/>
      <w:ind w:right="720"/>
      <w:jc w:val="both"/>
      <w:rPr>
        <w:sz w:val="2"/>
        <w:szCs w:val="2"/>
      </w:rPr>
    </w:pPr>
    <w:r>
      <w:rPr>
        <w:sz w:val="2"/>
      </w:rPr>
      <w:pict>
        <v:shape id="_x0000_s2055" o:spid="_x0000_s2055" o:spt="202" type="#_x0000_t202" style="position:absolute;left:0pt;margin-top:0pt;height:144pt;width:144pt;mso-position-horizontal:righ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4E1ED49A">
                <w:pPr>
                  <w:snapToGrid w:val="0"/>
                  <w:rPr>
                    <w:sz w:val="18"/>
                  </w:rPr>
                </w:pPr>
                <w:r>
                  <w:rPr>
                    <w:sz w:val="18"/>
                  </w:rPr>
                  <w:fldChar w:fldCharType="begin"/>
                </w:r>
                <w:r>
                  <w:rPr>
                    <w:sz w:val="18"/>
                  </w:rPr>
                  <w:instrText xml:space="preserve"> PAGE  \* MERGEFORMAT </w:instrText>
                </w:r>
                <w:r>
                  <w:rPr>
                    <w:sz w:val="18"/>
                  </w:rPr>
                  <w:fldChar w:fldCharType="separate"/>
                </w:r>
                <w:r>
                  <w:rPr>
                    <w:sz w:val="18"/>
                  </w:rPr>
                  <w:t>I</w:t>
                </w:r>
                <w:r>
                  <w:rPr>
                    <w:sz w:val="18"/>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88FF">
    <w:pPr>
      <w:pStyle w:val="75"/>
      <w:jc w:val="center"/>
    </w:pPr>
    <w:r>
      <w:rPr>
        <w:sz w:val="18"/>
      </w:rPr>
      <w:pict>
        <v:shape id="_x0000_s2051" o:spid="_x0000_s2051"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6FD92BBC">
                <w:pPr>
                  <w:pStyle w:val="75"/>
                </w:pPr>
                <w:r>
                  <w:fldChar w:fldCharType="begin"/>
                </w:r>
                <w:r>
                  <w:instrText xml:space="preserve">PAGE   \* MERGEFORMAT</w:instrText>
                </w:r>
                <w:r>
                  <w:fldChar w:fldCharType="separate"/>
                </w:r>
                <w:r>
                  <w:rPr>
                    <w:lang w:val="zh-CN"/>
                  </w:rPr>
                  <w:t>I</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5A068">
    <w:pPr>
      <w:pStyle w:val="75"/>
      <w:jc w:val="center"/>
    </w:pPr>
    <w:r>
      <w:rPr>
        <w:sz w:val="18"/>
      </w:rPr>
      <w:pict>
        <v:shape id="_x0000_s2056" o:spid="_x0000_s2056" o:spt="202" type="#_x0000_t202" style="position:absolute;left:0pt;margin-top:0pt;height:144pt;width:144pt;mso-position-horizontal:right;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4CE096E">
                <w:pPr>
                  <w:pStyle w:val="75"/>
                </w:pPr>
                <w:r>
                  <w:fldChar w:fldCharType="begin"/>
                </w:r>
                <w:r>
                  <w:instrText xml:space="preserve">PAGE   \* MERGEFORMAT</w:instrText>
                </w:r>
                <w:r>
                  <w:fldChar w:fldCharType="separate"/>
                </w:r>
                <w:r>
                  <w:rPr>
                    <w:lang w:val="zh-CN"/>
                  </w:rPr>
                  <w:t>I</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B9AC3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020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6B076">
    <w:pPr>
      <w:pStyle w:val="83"/>
    </w:pPr>
    <w:r>
      <w:fldChar w:fldCharType="begin"/>
    </w:r>
    <w:r>
      <w:instrText xml:space="preserve"> STYLEREF  标准文件_文件编号  \* MERGEFORMAT </w:instrText>
    </w:r>
    <w:r>
      <w:fldChar w:fldCharType="separate"/>
    </w:r>
    <w:r>
      <w:t>DBXX/TXXXX—XXXX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23542">
    <w:pPr>
      <w:pStyle w:val="18"/>
      <w:jc w:val="right"/>
      <w:rPr>
        <w:lang w:val="fr-FR"/>
      </w:rPr>
    </w:pPr>
    <w:r>
      <w:fldChar w:fldCharType="begin"/>
    </w:r>
    <w:r>
      <w:instrText xml:space="preserve"> STYLEREF  标准文件_文件编号  \* MERGEFORMAT </w:instrText>
    </w:r>
    <w:r>
      <w:fldChar w:fldCharType="separate"/>
    </w:r>
    <w:r>
      <w:t>DBXX/TXXXX—XXXX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8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7"/>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3"/>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8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9"/>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41"/>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1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81"/>
      <w:lvlText w:val="%1)"/>
      <w:lvlJc w:val="left"/>
      <w:pPr>
        <w:tabs>
          <w:tab w:val="left" w:pos="851"/>
        </w:tabs>
        <w:ind w:left="851" w:hanging="426"/>
      </w:pPr>
      <w:rPr>
        <w:rFonts w:hint="eastAsia" w:ascii="宋体" w:hAnsi="Times New Roman" w:eastAsia="宋体"/>
        <w:sz w:val="21"/>
      </w:rPr>
    </w:lvl>
    <w:lvl w:ilvl="1" w:tentative="0">
      <w:start w:val="1"/>
      <w:numFmt w:val="decimal"/>
      <w:pStyle w:val="118"/>
      <w:lvlText w:val="%2)"/>
      <w:lvlJc w:val="left"/>
      <w:pPr>
        <w:tabs>
          <w:tab w:val="left" w:pos="1276"/>
        </w:tabs>
        <w:ind w:left="1276" w:hanging="425"/>
      </w:pPr>
      <w:rPr>
        <w:rFonts w:hint="eastAsia" w:ascii="宋体" w:hAnsi="Times New Roman" w:eastAsia="宋体"/>
        <w:sz w:val="21"/>
      </w:rPr>
    </w:lvl>
    <w:lvl w:ilvl="2" w:tentative="0">
      <w:start w:val="1"/>
      <w:numFmt w:val="decimal"/>
      <w:pStyle w:val="12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9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5"/>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2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55"/>
      <w:suff w:val="space"/>
      <w:lvlText w:val="%1"/>
      <w:lvlJc w:val="left"/>
      <w:pPr>
        <w:ind w:left="425" w:hanging="425"/>
      </w:pPr>
      <w:rPr>
        <w:rFonts w:hint="eastAsia"/>
      </w:rPr>
    </w:lvl>
    <w:lvl w:ilvl="1" w:tentative="0">
      <w:start w:val="1"/>
      <w:numFmt w:val="decimal"/>
      <w:pStyle w:val="5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2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5"/>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1"/>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51"/>
      <w:suff w:val="nothing"/>
      <w:lvlText w:val="附录%1"/>
      <w:lvlJc w:val="left"/>
      <w:pPr>
        <w:ind w:left="0" w:firstLine="0"/>
      </w:pPr>
      <w:rPr>
        <w:rFonts w:hint="eastAsia"/>
        <w:spacing w:val="100"/>
      </w:rPr>
    </w:lvl>
    <w:lvl w:ilvl="1" w:tentative="0">
      <w:start w:val="1"/>
      <w:numFmt w:val="decimal"/>
      <w:pStyle w:val="43"/>
      <w:suff w:val="nothing"/>
      <w:lvlText w:val="%1.%2　"/>
      <w:lvlJc w:val="left"/>
      <w:pPr>
        <w:ind w:left="0" w:firstLine="0"/>
      </w:pPr>
      <w:rPr>
        <w:rFonts w:hint="eastAsia" w:ascii="黑体" w:eastAsia="黑体"/>
        <w:b w:val="0"/>
        <w:i w:val="0"/>
        <w:sz w:val="21"/>
      </w:rPr>
    </w:lvl>
    <w:lvl w:ilvl="2" w:tentative="0">
      <w:start w:val="1"/>
      <w:numFmt w:val="decimal"/>
      <w:pStyle w:val="44"/>
      <w:suff w:val="nothing"/>
      <w:lvlText w:val="%1.%2.%3　"/>
      <w:lvlJc w:val="left"/>
      <w:pPr>
        <w:ind w:left="0" w:firstLine="0"/>
      </w:pPr>
      <w:rPr>
        <w:rFonts w:hint="eastAsia" w:ascii="黑体" w:eastAsia="黑体"/>
        <w:b w:val="0"/>
        <w:i w:val="0"/>
        <w:sz w:val="21"/>
      </w:rPr>
    </w:lvl>
    <w:lvl w:ilvl="3" w:tentative="0">
      <w:start w:val="1"/>
      <w:numFmt w:val="decimal"/>
      <w:pStyle w:val="52"/>
      <w:suff w:val="nothing"/>
      <w:lvlText w:val="%1.%2.%3.%4　"/>
      <w:lvlJc w:val="left"/>
      <w:pPr>
        <w:ind w:left="0" w:firstLine="0"/>
      </w:pPr>
      <w:rPr>
        <w:rFonts w:hint="eastAsia" w:ascii="黑体" w:eastAsia="黑体"/>
        <w:b w:val="0"/>
        <w:i w:val="0"/>
        <w:sz w:val="21"/>
      </w:rPr>
    </w:lvl>
    <w:lvl w:ilvl="4" w:tentative="0">
      <w:start w:val="1"/>
      <w:numFmt w:val="decimal"/>
      <w:pStyle w:val="45"/>
      <w:suff w:val="nothing"/>
      <w:lvlText w:val="%1.%2.%3.%4.%5　"/>
      <w:lvlJc w:val="left"/>
      <w:pPr>
        <w:ind w:left="0" w:firstLine="0"/>
      </w:pPr>
      <w:rPr>
        <w:rFonts w:hint="eastAsia" w:ascii="黑体" w:eastAsia="黑体"/>
        <w:b w:val="0"/>
        <w:i w:val="0"/>
        <w:sz w:val="21"/>
      </w:rPr>
    </w:lvl>
    <w:lvl w:ilvl="5" w:tentative="0">
      <w:start w:val="1"/>
      <w:numFmt w:val="decimal"/>
      <w:pStyle w:val="4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1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8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39"/>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6"/>
      <w:suff w:val="nothing"/>
      <w:lvlText w:val="%1%2.%3.%4　"/>
      <w:lvlJc w:val="left"/>
      <w:pPr>
        <w:ind w:left="0" w:firstLine="0"/>
      </w:pPr>
      <w:rPr>
        <w:rFonts w:hint="eastAsia" w:ascii="黑体" w:eastAsia="黑体"/>
        <w:b w:val="0"/>
        <w:i w:val="0"/>
        <w:sz w:val="21"/>
      </w:rPr>
    </w:lvl>
    <w:lvl w:ilvl="4" w:tentative="0">
      <w:start w:val="1"/>
      <w:numFmt w:val="decimal"/>
      <w:pStyle w:val="35"/>
      <w:suff w:val="nothing"/>
      <w:lvlText w:val="%1%2.%3.%4.%5　"/>
      <w:lvlJc w:val="left"/>
      <w:pPr>
        <w:ind w:left="0" w:firstLine="0"/>
      </w:pPr>
      <w:rPr>
        <w:rFonts w:hint="eastAsia" w:ascii="黑体" w:eastAsia="黑体"/>
        <w:b w:val="0"/>
        <w:i w:val="0"/>
        <w:sz w:val="21"/>
      </w:rPr>
    </w:lvl>
    <w:lvl w:ilvl="5" w:tentative="0">
      <w:start w:val="1"/>
      <w:numFmt w:val="decimal"/>
      <w:pStyle w:val="41"/>
      <w:suff w:val="nothing"/>
      <w:lvlText w:val="%1%2.%3.%4.%5.%6　"/>
      <w:lvlJc w:val="left"/>
      <w:pPr>
        <w:ind w:left="0" w:firstLine="0"/>
      </w:pPr>
      <w:rPr>
        <w:rFonts w:hint="eastAsia" w:ascii="黑体" w:eastAsia="黑体"/>
        <w:b w:val="0"/>
        <w:i w:val="0"/>
        <w:sz w:val="21"/>
      </w:rPr>
    </w:lvl>
    <w:lvl w:ilvl="6" w:tentative="0">
      <w:start w:val="1"/>
      <w:numFmt w:val="decimal"/>
      <w:pStyle w:val="4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4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4"/>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8"/>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23"/>
  </w:num>
  <w:num w:numId="3">
    <w:abstractNumId w:val="28"/>
  </w:num>
  <w:num w:numId="4">
    <w:abstractNumId w:val="18"/>
  </w:num>
  <w:num w:numId="5">
    <w:abstractNumId w:val="2"/>
  </w:num>
  <w:num w:numId="6">
    <w:abstractNumId w:val="0"/>
  </w:num>
  <w:num w:numId="7">
    <w:abstractNumId w:val="5"/>
  </w:num>
  <w:num w:numId="8">
    <w:abstractNumId w:val="13"/>
  </w:num>
  <w:num w:numId="9">
    <w:abstractNumId w:val="8"/>
  </w:num>
  <w:num w:numId="10">
    <w:abstractNumId w:val="3"/>
  </w:num>
  <w:num w:numId="11">
    <w:abstractNumId w:val="9"/>
  </w:num>
  <w:num w:numId="12">
    <w:abstractNumId w:val="16"/>
  </w:num>
  <w:num w:numId="13">
    <w:abstractNumId w:val="25"/>
  </w:num>
  <w:num w:numId="14">
    <w:abstractNumId w:val="11"/>
  </w:num>
  <w:num w:numId="15">
    <w:abstractNumId w:val="12"/>
  </w:num>
  <w:num w:numId="16">
    <w:abstractNumId w:val="7"/>
  </w:num>
  <w:num w:numId="17">
    <w:abstractNumId w:val="19"/>
  </w:num>
  <w:num w:numId="18">
    <w:abstractNumId w:val="21"/>
  </w:num>
  <w:num w:numId="19">
    <w:abstractNumId w:val="17"/>
  </w:num>
  <w:num w:numId="20">
    <w:abstractNumId w:val="29"/>
  </w:num>
  <w:num w:numId="21">
    <w:abstractNumId w:val="15"/>
  </w:num>
  <w:num w:numId="22">
    <w:abstractNumId w:val="1"/>
  </w:num>
  <w:num w:numId="23">
    <w:abstractNumId w:val="10"/>
  </w:num>
  <w:num w:numId="24">
    <w:abstractNumId w:val="30"/>
  </w:num>
  <w:num w:numId="25">
    <w:abstractNumId w:val="20"/>
  </w:num>
  <w:num w:numId="26">
    <w:abstractNumId w:val="6"/>
  </w:num>
  <w:num w:numId="27">
    <w:abstractNumId w:val="26"/>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llMjc5YWFkNmM2MGZkNGVmZmRjNzc4NDEyZDJmMWUifQ=="/>
  </w:docVars>
  <w:rsids>
    <w:rsidRoot w:val="00374A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32"/>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BD5"/>
    <w:rsid w:val="000A7311"/>
    <w:rsid w:val="000B060F"/>
    <w:rsid w:val="000B1592"/>
    <w:rsid w:val="000B1FF2"/>
    <w:rsid w:val="000B3CDA"/>
    <w:rsid w:val="000B6A0B"/>
    <w:rsid w:val="000C0F6C"/>
    <w:rsid w:val="000C11DB"/>
    <w:rsid w:val="000C1492"/>
    <w:rsid w:val="000C195A"/>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B6"/>
    <w:rsid w:val="0019348F"/>
    <w:rsid w:val="00193A07"/>
    <w:rsid w:val="00194C95"/>
    <w:rsid w:val="00195C34"/>
    <w:rsid w:val="00196EF5"/>
    <w:rsid w:val="001A1A53"/>
    <w:rsid w:val="001A234A"/>
    <w:rsid w:val="001A4CF3"/>
    <w:rsid w:val="001B02D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634"/>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D1"/>
    <w:rsid w:val="002B4508"/>
    <w:rsid w:val="002B5779"/>
    <w:rsid w:val="002B7332"/>
    <w:rsid w:val="002B7F51"/>
    <w:rsid w:val="002C09E7"/>
    <w:rsid w:val="002C1E06"/>
    <w:rsid w:val="002C1E1C"/>
    <w:rsid w:val="002C3F07"/>
    <w:rsid w:val="002C5278"/>
    <w:rsid w:val="002C7EBB"/>
    <w:rsid w:val="002D06C1"/>
    <w:rsid w:val="002D30D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4A94"/>
    <w:rsid w:val="00376713"/>
    <w:rsid w:val="00381815"/>
    <w:rsid w:val="003819AF"/>
    <w:rsid w:val="003820E9"/>
    <w:rsid w:val="00382DE7"/>
    <w:rsid w:val="00384FFC"/>
    <w:rsid w:val="003872FC"/>
    <w:rsid w:val="00387ADC"/>
    <w:rsid w:val="00387EF7"/>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AD6"/>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7C2"/>
    <w:rsid w:val="00541853"/>
    <w:rsid w:val="00543BDA"/>
    <w:rsid w:val="005441CC"/>
    <w:rsid w:val="005479DA"/>
    <w:rsid w:val="00547BCC"/>
    <w:rsid w:val="0055013B"/>
    <w:rsid w:val="00551F6F"/>
    <w:rsid w:val="00554BFA"/>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116C"/>
    <w:rsid w:val="005B4903"/>
    <w:rsid w:val="005B51CE"/>
    <w:rsid w:val="005B5885"/>
    <w:rsid w:val="005B5CD7"/>
    <w:rsid w:val="005B6CF6"/>
    <w:rsid w:val="005B7422"/>
    <w:rsid w:val="005C29B8"/>
    <w:rsid w:val="005C5F21"/>
    <w:rsid w:val="005C7156"/>
    <w:rsid w:val="005D0C75"/>
    <w:rsid w:val="005D163F"/>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37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0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6A9"/>
    <w:rsid w:val="00783ECF"/>
    <w:rsid w:val="0078413A"/>
    <w:rsid w:val="00784451"/>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8A2"/>
    <w:rsid w:val="007C1E8B"/>
    <w:rsid w:val="007C213F"/>
    <w:rsid w:val="007C2D89"/>
    <w:rsid w:val="007C4593"/>
    <w:rsid w:val="007C5309"/>
    <w:rsid w:val="007C6069"/>
    <w:rsid w:val="007D06C4"/>
    <w:rsid w:val="007D1352"/>
    <w:rsid w:val="007D2508"/>
    <w:rsid w:val="007D2F0E"/>
    <w:rsid w:val="007D346A"/>
    <w:rsid w:val="007D6518"/>
    <w:rsid w:val="007D76BD"/>
    <w:rsid w:val="007E0BF1"/>
    <w:rsid w:val="007F0ED8"/>
    <w:rsid w:val="007F0F63"/>
    <w:rsid w:val="007F70F7"/>
    <w:rsid w:val="007F75CE"/>
    <w:rsid w:val="008013A4"/>
    <w:rsid w:val="008027CE"/>
    <w:rsid w:val="00802D91"/>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639"/>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22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B2E"/>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D4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09"/>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4B11"/>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847"/>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97E"/>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E41"/>
    <w:rsid w:val="00D51BF3"/>
    <w:rsid w:val="00D66846"/>
    <w:rsid w:val="00D675FB"/>
    <w:rsid w:val="00D677BE"/>
    <w:rsid w:val="00D71F25"/>
    <w:rsid w:val="00D72A9C"/>
    <w:rsid w:val="00D77031"/>
    <w:rsid w:val="00D84941"/>
    <w:rsid w:val="00D84FA1"/>
    <w:rsid w:val="00D851F0"/>
    <w:rsid w:val="00D86DB7"/>
    <w:rsid w:val="00D926D0"/>
    <w:rsid w:val="00D93030"/>
    <w:rsid w:val="00D950E1"/>
    <w:rsid w:val="00D952A6"/>
    <w:rsid w:val="00D97F99"/>
    <w:rsid w:val="00DA0E0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2B2"/>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80A"/>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57E"/>
    <w:rsid w:val="00FE1FBE"/>
    <w:rsid w:val="00FE3901"/>
    <w:rsid w:val="00FE39D3"/>
    <w:rsid w:val="00FE4BCE"/>
    <w:rsid w:val="00FE54AE"/>
    <w:rsid w:val="00FE576A"/>
    <w:rsid w:val="00FE7E79"/>
    <w:rsid w:val="00FF3E7D"/>
    <w:rsid w:val="00FF5B99"/>
    <w:rsid w:val="00FF730C"/>
    <w:rsid w:val="00FF73F4"/>
    <w:rsid w:val="00FF7CE4"/>
    <w:rsid w:val="00FF7E39"/>
    <w:rsid w:val="03B11FA7"/>
    <w:rsid w:val="03DE5A5A"/>
    <w:rsid w:val="040403E3"/>
    <w:rsid w:val="050D0B98"/>
    <w:rsid w:val="05A30F51"/>
    <w:rsid w:val="06344370"/>
    <w:rsid w:val="089E4450"/>
    <w:rsid w:val="0B1F28CF"/>
    <w:rsid w:val="0BFC5617"/>
    <w:rsid w:val="0CBC025F"/>
    <w:rsid w:val="0CF4009D"/>
    <w:rsid w:val="0F615AF6"/>
    <w:rsid w:val="0F733152"/>
    <w:rsid w:val="0F9022FF"/>
    <w:rsid w:val="0FAD2513"/>
    <w:rsid w:val="0FEBABB9"/>
    <w:rsid w:val="10E943BC"/>
    <w:rsid w:val="112D6B93"/>
    <w:rsid w:val="11BD0BB7"/>
    <w:rsid w:val="12850115"/>
    <w:rsid w:val="13637D2A"/>
    <w:rsid w:val="138F28CD"/>
    <w:rsid w:val="14FC3F92"/>
    <w:rsid w:val="16050D55"/>
    <w:rsid w:val="16823571"/>
    <w:rsid w:val="169A72D6"/>
    <w:rsid w:val="16E75421"/>
    <w:rsid w:val="17862702"/>
    <w:rsid w:val="17CD1C16"/>
    <w:rsid w:val="1BE505A0"/>
    <w:rsid w:val="1D271DC8"/>
    <w:rsid w:val="1DCC6295"/>
    <w:rsid w:val="1DD737EE"/>
    <w:rsid w:val="1E746759"/>
    <w:rsid w:val="1F1D09CA"/>
    <w:rsid w:val="1FDF347D"/>
    <w:rsid w:val="1FEF0691"/>
    <w:rsid w:val="203B0065"/>
    <w:rsid w:val="20450EE3"/>
    <w:rsid w:val="20BD69A3"/>
    <w:rsid w:val="23867849"/>
    <w:rsid w:val="23F76C4C"/>
    <w:rsid w:val="25365294"/>
    <w:rsid w:val="25F211C5"/>
    <w:rsid w:val="26310422"/>
    <w:rsid w:val="275F0ADD"/>
    <w:rsid w:val="27B10488"/>
    <w:rsid w:val="27F231B4"/>
    <w:rsid w:val="28247630"/>
    <w:rsid w:val="292A182B"/>
    <w:rsid w:val="2A341268"/>
    <w:rsid w:val="2AF128FC"/>
    <w:rsid w:val="2B520958"/>
    <w:rsid w:val="2B541777"/>
    <w:rsid w:val="2B9B4E28"/>
    <w:rsid w:val="2C8C66EB"/>
    <w:rsid w:val="2D6A3D37"/>
    <w:rsid w:val="2DE03FF9"/>
    <w:rsid w:val="2ED427C1"/>
    <w:rsid w:val="2F19DE53"/>
    <w:rsid w:val="2F5B4CF7"/>
    <w:rsid w:val="2FC615F6"/>
    <w:rsid w:val="2FFD4B65"/>
    <w:rsid w:val="2FFF212D"/>
    <w:rsid w:val="316D0EC6"/>
    <w:rsid w:val="31C756D3"/>
    <w:rsid w:val="3409A55B"/>
    <w:rsid w:val="349E2254"/>
    <w:rsid w:val="359C6882"/>
    <w:rsid w:val="35EB3E83"/>
    <w:rsid w:val="379567F1"/>
    <w:rsid w:val="37BC6761"/>
    <w:rsid w:val="37EF52C1"/>
    <w:rsid w:val="37FB643A"/>
    <w:rsid w:val="3B380F6D"/>
    <w:rsid w:val="3B44171E"/>
    <w:rsid w:val="3B9052B1"/>
    <w:rsid w:val="3BFF075F"/>
    <w:rsid w:val="3C7A386B"/>
    <w:rsid w:val="3D5FB07E"/>
    <w:rsid w:val="3E0E6961"/>
    <w:rsid w:val="3E9FC864"/>
    <w:rsid w:val="3EC6B909"/>
    <w:rsid w:val="3EE81E8F"/>
    <w:rsid w:val="3F7E03B8"/>
    <w:rsid w:val="3FEF7E3E"/>
    <w:rsid w:val="3FFB8205"/>
    <w:rsid w:val="403D18C5"/>
    <w:rsid w:val="40F9778E"/>
    <w:rsid w:val="410900D4"/>
    <w:rsid w:val="419A518B"/>
    <w:rsid w:val="42861724"/>
    <w:rsid w:val="42B1434D"/>
    <w:rsid w:val="42C972AB"/>
    <w:rsid w:val="43B41D58"/>
    <w:rsid w:val="43B71271"/>
    <w:rsid w:val="44283AC1"/>
    <w:rsid w:val="45FF1617"/>
    <w:rsid w:val="465D33BE"/>
    <w:rsid w:val="474F76A2"/>
    <w:rsid w:val="47835CCA"/>
    <w:rsid w:val="48952B2B"/>
    <w:rsid w:val="489946FA"/>
    <w:rsid w:val="4A8C0F12"/>
    <w:rsid w:val="4BA6696F"/>
    <w:rsid w:val="4BB9615E"/>
    <w:rsid w:val="4D6F681E"/>
    <w:rsid w:val="4D9DF2A0"/>
    <w:rsid w:val="4DB841F3"/>
    <w:rsid w:val="4F2F2DCD"/>
    <w:rsid w:val="4F676F3B"/>
    <w:rsid w:val="5153495F"/>
    <w:rsid w:val="51EE66E6"/>
    <w:rsid w:val="5330338D"/>
    <w:rsid w:val="53734CF3"/>
    <w:rsid w:val="53C3702A"/>
    <w:rsid w:val="541C54DC"/>
    <w:rsid w:val="542178C6"/>
    <w:rsid w:val="56FE82BD"/>
    <w:rsid w:val="57CE43BD"/>
    <w:rsid w:val="57FFAAEA"/>
    <w:rsid w:val="5B0E7B48"/>
    <w:rsid w:val="5B4F43E9"/>
    <w:rsid w:val="5BEEA8EF"/>
    <w:rsid w:val="5D256ABE"/>
    <w:rsid w:val="5D3F3B84"/>
    <w:rsid w:val="5DC40C41"/>
    <w:rsid w:val="5DF73E74"/>
    <w:rsid w:val="5DFDE2CE"/>
    <w:rsid w:val="5EEDA2E0"/>
    <w:rsid w:val="5EFD1C30"/>
    <w:rsid w:val="5EFFE97E"/>
    <w:rsid w:val="5FF93827"/>
    <w:rsid w:val="600A6B30"/>
    <w:rsid w:val="602F2A3B"/>
    <w:rsid w:val="60BA67A8"/>
    <w:rsid w:val="60BD3BA3"/>
    <w:rsid w:val="618A2BD2"/>
    <w:rsid w:val="61B14A04"/>
    <w:rsid w:val="621A5025"/>
    <w:rsid w:val="637F1340"/>
    <w:rsid w:val="639FBB20"/>
    <w:rsid w:val="6448697E"/>
    <w:rsid w:val="650C6EA7"/>
    <w:rsid w:val="65DA57AA"/>
    <w:rsid w:val="660E4EA0"/>
    <w:rsid w:val="670A6FBE"/>
    <w:rsid w:val="675BDBBD"/>
    <w:rsid w:val="67BF6514"/>
    <w:rsid w:val="67FF3195"/>
    <w:rsid w:val="68142C42"/>
    <w:rsid w:val="689D6858"/>
    <w:rsid w:val="68F95994"/>
    <w:rsid w:val="6A7901E3"/>
    <w:rsid w:val="6A7D6078"/>
    <w:rsid w:val="6AE14931"/>
    <w:rsid w:val="6B1D3523"/>
    <w:rsid w:val="6C4C56C0"/>
    <w:rsid w:val="6CB819DE"/>
    <w:rsid w:val="6CEEF90A"/>
    <w:rsid w:val="6D154BFC"/>
    <w:rsid w:val="6D576713"/>
    <w:rsid w:val="6DD32C57"/>
    <w:rsid w:val="72CA2813"/>
    <w:rsid w:val="75040D1F"/>
    <w:rsid w:val="7559233A"/>
    <w:rsid w:val="75FB0517"/>
    <w:rsid w:val="76AA7AA2"/>
    <w:rsid w:val="76DF34A8"/>
    <w:rsid w:val="776B5CAF"/>
    <w:rsid w:val="77B7AD3F"/>
    <w:rsid w:val="77E7ED5D"/>
    <w:rsid w:val="77EE4EFE"/>
    <w:rsid w:val="77FADC64"/>
    <w:rsid w:val="77FE4FF3"/>
    <w:rsid w:val="77FE6E02"/>
    <w:rsid w:val="77FFF674"/>
    <w:rsid w:val="783A477B"/>
    <w:rsid w:val="78FF7588"/>
    <w:rsid w:val="792A25EB"/>
    <w:rsid w:val="79B6E924"/>
    <w:rsid w:val="79DEDE40"/>
    <w:rsid w:val="79FDBC9A"/>
    <w:rsid w:val="79FFF9D8"/>
    <w:rsid w:val="7BFBD941"/>
    <w:rsid w:val="7C776EA4"/>
    <w:rsid w:val="7D28800F"/>
    <w:rsid w:val="7DEC55B6"/>
    <w:rsid w:val="7DEEA0FD"/>
    <w:rsid w:val="7DFFFEF0"/>
    <w:rsid w:val="7E8FE5D1"/>
    <w:rsid w:val="7EC97A36"/>
    <w:rsid w:val="7EE5EAA6"/>
    <w:rsid w:val="7EFE87F5"/>
    <w:rsid w:val="7F7DF66D"/>
    <w:rsid w:val="7FBF406F"/>
    <w:rsid w:val="7FDE59A7"/>
    <w:rsid w:val="7FE35664"/>
    <w:rsid w:val="7FFEF8CF"/>
    <w:rsid w:val="9EFF2B6F"/>
    <w:rsid w:val="9F3F12F1"/>
    <w:rsid w:val="9FDE6593"/>
    <w:rsid w:val="A7BFEA90"/>
    <w:rsid w:val="A977ABAC"/>
    <w:rsid w:val="AB171FB1"/>
    <w:rsid w:val="BABF3556"/>
    <w:rsid w:val="BF53D409"/>
    <w:rsid w:val="BFF10AB0"/>
    <w:rsid w:val="CBF9316C"/>
    <w:rsid w:val="D6FFE79C"/>
    <w:rsid w:val="D7FBF499"/>
    <w:rsid w:val="DBBF9CBF"/>
    <w:rsid w:val="DEB77DF6"/>
    <w:rsid w:val="DFEF32FE"/>
    <w:rsid w:val="E8ED8256"/>
    <w:rsid w:val="EDFCB720"/>
    <w:rsid w:val="EFB7C566"/>
    <w:rsid w:val="EFD4177E"/>
    <w:rsid w:val="EFD71BA1"/>
    <w:rsid w:val="F1E7B28D"/>
    <w:rsid w:val="F37C017D"/>
    <w:rsid w:val="F767BE07"/>
    <w:rsid w:val="F7E7D29F"/>
    <w:rsid w:val="F8353480"/>
    <w:rsid w:val="F9DF136F"/>
    <w:rsid w:val="FA5BAC31"/>
    <w:rsid w:val="FB617906"/>
    <w:rsid w:val="FB75007F"/>
    <w:rsid w:val="FDF2CFE1"/>
    <w:rsid w:val="FDF3887D"/>
    <w:rsid w:val="FF24F6C3"/>
    <w:rsid w:val="FFBC0191"/>
    <w:rsid w:val="FFDD734C"/>
    <w:rsid w:val="FFF72ED5"/>
    <w:rsid w:val="FFFF42D2"/>
    <w:rsid w:val="FFFF79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5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9"/>
    <w:qFormat/>
    <w:uiPriority w:val="0"/>
    <w:pPr>
      <w:keepNext/>
      <w:keepLines/>
      <w:spacing w:before="260" w:after="260" w:line="416" w:lineRule="auto"/>
      <w:outlineLvl w:val="2"/>
    </w:pPr>
    <w:rPr>
      <w:b/>
      <w:bCs/>
      <w:sz w:val="32"/>
      <w:szCs w:val="32"/>
    </w:rPr>
  </w:style>
  <w:style w:type="paragraph" w:styleId="5">
    <w:name w:val="heading 4"/>
    <w:basedOn w:val="1"/>
    <w:next w:val="1"/>
    <w:link w:val="6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5"/>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100"/>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68"/>
    <w:unhideWhenUsed/>
    <w:qFormat/>
    <w:uiPriority w:val="99"/>
    <w:rPr>
      <w:sz w:val="18"/>
      <w:szCs w:val="18"/>
    </w:rPr>
  </w:style>
  <w:style w:type="paragraph" w:styleId="17">
    <w:name w:val="footer"/>
    <w:basedOn w:val="1"/>
    <w:link w:val="67"/>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6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1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71"/>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paragraph" w:customStyle="1" w:styleId="35">
    <w:name w:val="标准文件_三级条标题"/>
    <w:basedOn w:val="36"/>
    <w:next w:val="37"/>
    <w:qFormat/>
    <w:uiPriority w:val="0"/>
    <w:pPr>
      <w:widowControl/>
      <w:numPr>
        <w:ilvl w:val="4"/>
      </w:numPr>
      <w:outlineLvl w:val="3"/>
    </w:pPr>
  </w:style>
  <w:style w:type="paragraph" w:customStyle="1" w:styleId="36">
    <w:name w:val="标准文件_二级条标题"/>
    <w:next w:val="37"/>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37">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8">
    <w:name w:val="标准文件_章标题"/>
    <w:next w:val="37"/>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39">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0">
    <w:name w:val="标准文件_一级条标题"/>
    <w:basedOn w:val="38"/>
    <w:next w:val="37"/>
    <w:qFormat/>
    <w:uiPriority w:val="0"/>
    <w:pPr>
      <w:numPr>
        <w:ilvl w:val="2"/>
      </w:numPr>
      <w:spacing w:beforeLines="50" w:afterLines="50"/>
      <w:outlineLvl w:val="1"/>
    </w:pPr>
  </w:style>
  <w:style w:type="paragraph" w:customStyle="1" w:styleId="41">
    <w:name w:val="标准文件_四级条标题"/>
    <w:next w:val="37"/>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42">
    <w:name w:val="标准文件_五级条标题"/>
    <w:next w:val="37"/>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43">
    <w:name w:val="标准文件_附录一级条标题"/>
    <w:next w:val="37"/>
    <w:qFormat/>
    <w:uiPriority w:val="0"/>
    <w:pPr>
      <w:widowControl w:val="0"/>
      <w:numPr>
        <w:ilvl w:val="1"/>
        <w:numId w:val="2"/>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44">
    <w:name w:val="标准文件_附录二级条标题"/>
    <w:basedOn w:val="43"/>
    <w:next w:val="37"/>
    <w:qFormat/>
    <w:uiPriority w:val="0"/>
    <w:pPr>
      <w:widowControl/>
      <w:numPr>
        <w:ilvl w:val="2"/>
      </w:numPr>
      <w:wordWrap w:val="0"/>
      <w:overflowPunct w:val="0"/>
      <w:autoSpaceDE w:val="0"/>
      <w:autoSpaceDN w:val="0"/>
      <w:textAlignment w:val="baseline"/>
      <w:outlineLvl w:val="3"/>
    </w:pPr>
  </w:style>
  <w:style w:type="paragraph" w:customStyle="1" w:styleId="45">
    <w:name w:val="标准文件_附录四级条标题"/>
    <w:next w:val="37"/>
    <w:qFormat/>
    <w:uiPriority w:val="0"/>
    <w:pPr>
      <w:widowControl w:val="0"/>
      <w:numPr>
        <w:ilvl w:val="4"/>
        <w:numId w:val="2"/>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46">
    <w:name w:val="标准文件_附录五级条标题"/>
    <w:next w:val="37"/>
    <w:qFormat/>
    <w:uiPriority w:val="0"/>
    <w:pPr>
      <w:widowControl w:val="0"/>
      <w:numPr>
        <w:ilvl w:val="5"/>
        <w:numId w:val="2"/>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47">
    <w:name w:val="标准文件_术语条一"/>
    <w:basedOn w:val="48"/>
    <w:next w:val="37"/>
    <w:qFormat/>
    <w:uiPriority w:val="0"/>
  </w:style>
  <w:style w:type="paragraph" w:customStyle="1" w:styleId="48">
    <w:name w:val="标准文件_一级无标题"/>
    <w:basedOn w:val="40"/>
    <w:qFormat/>
    <w:uiPriority w:val="0"/>
    <w:pPr>
      <w:spacing w:beforeLines="0" w:afterLines="0"/>
      <w:outlineLvl w:val="9"/>
    </w:pPr>
    <w:rPr>
      <w:rFonts w:ascii="宋体" w:eastAsia="宋体"/>
    </w:rPr>
  </w:style>
  <w:style w:type="paragraph" w:customStyle="1" w:styleId="49">
    <w:name w:val="标准文件_注："/>
    <w:next w:val="37"/>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50">
    <w:name w:val="标准文件_表格"/>
    <w:basedOn w:val="37"/>
    <w:qFormat/>
    <w:uiPriority w:val="0"/>
    <w:pPr>
      <w:ind w:firstLine="0" w:firstLineChars="0"/>
      <w:jc w:val="center"/>
    </w:pPr>
    <w:rPr>
      <w:sz w:val="18"/>
    </w:rPr>
  </w:style>
  <w:style w:type="paragraph" w:customStyle="1" w:styleId="51">
    <w:name w:val="标准文件_附录标识"/>
    <w:next w:val="37"/>
    <w:qFormat/>
    <w:uiPriority w:val="0"/>
    <w:pPr>
      <w:numPr>
        <w:ilvl w:val="0"/>
        <w:numId w:val="2"/>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52">
    <w:name w:val="标准文件_附录三级条标题"/>
    <w:next w:val="37"/>
    <w:qFormat/>
    <w:uiPriority w:val="0"/>
    <w:pPr>
      <w:widowControl w:val="0"/>
      <w:numPr>
        <w:ilvl w:val="3"/>
        <w:numId w:val="2"/>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53">
    <w:name w:val="标准文件_附录表标题"/>
    <w:next w:val="37"/>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54">
    <w:name w:val="标准文件_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5">
    <w:name w:val="标准文件_附录表标号"/>
    <w:basedOn w:val="37"/>
    <w:next w:val="37"/>
    <w:qFormat/>
    <w:uiPriority w:val="0"/>
    <w:pPr>
      <w:numPr>
        <w:ilvl w:val="0"/>
        <w:numId w:val="4"/>
      </w:numPr>
      <w:spacing w:line="14" w:lineRule="exact"/>
      <w:ind w:firstLine="0" w:firstLineChars="0"/>
      <w:jc w:val="center"/>
    </w:pPr>
    <w:rPr>
      <w:rFonts w:eastAsia="黑体"/>
      <w:vanish/>
      <w:sz w:val="2"/>
    </w:rPr>
  </w:style>
  <w:style w:type="paragraph" w:customStyle="1" w:styleId="56">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57">
    <w:name w:val="标题 1 Char"/>
    <w:link w:val="3"/>
    <w:qFormat/>
    <w:uiPriority w:val="0"/>
    <w:rPr>
      <w:b/>
      <w:bCs/>
      <w:kern w:val="44"/>
      <w:sz w:val="44"/>
      <w:szCs w:val="44"/>
    </w:rPr>
  </w:style>
  <w:style w:type="character" w:customStyle="1" w:styleId="58">
    <w:name w:val="标题 2 Char"/>
    <w:link w:val="2"/>
    <w:qFormat/>
    <w:uiPriority w:val="0"/>
    <w:rPr>
      <w:rFonts w:ascii="Arial" w:hAnsi="Arial" w:eastAsia="黑体"/>
      <w:b/>
      <w:bCs/>
      <w:kern w:val="2"/>
      <w:sz w:val="32"/>
      <w:szCs w:val="32"/>
    </w:rPr>
  </w:style>
  <w:style w:type="character" w:customStyle="1" w:styleId="59">
    <w:name w:val="标题 3 Char"/>
    <w:link w:val="4"/>
    <w:qFormat/>
    <w:uiPriority w:val="0"/>
    <w:rPr>
      <w:b/>
      <w:bCs/>
      <w:kern w:val="2"/>
      <w:sz w:val="32"/>
      <w:szCs w:val="32"/>
    </w:rPr>
  </w:style>
  <w:style w:type="character" w:customStyle="1" w:styleId="60">
    <w:name w:val="标题 4 Char"/>
    <w:link w:val="5"/>
    <w:qFormat/>
    <w:uiPriority w:val="0"/>
    <w:rPr>
      <w:rFonts w:ascii="Arial" w:hAnsi="Arial" w:eastAsia="黑体"/>
      <w:b/>
      <w:bCs/>
      <w:kern w:val="2"/>
      <w:sz w:val="28"/>
      <w:szCs w:val="28"/>
    </w:rPr>
  </w:style>
  <w:style w:type="character" w:customStyle="1" w:styleId="61">
    <w:name w:val="标题 5 Char"/>
    <w:link w:val="6"/>
    <w:qFormat/>
    <w:uiPriority w:val="0"/>
    <w:rPr>
      <w:b/>
      <w:bCs/>
      <w:kern w:val="2"/>
      <w:sz w:val="28"/>
      <w:szCs w:val="28"/>
    </w:rPr>
  </w:style>
  <w:style w:type="character" w:customStyle="1" w:styleId="62">
    <w:name w:val="标题 6 Char"/>
    <w:link w:val="7"/>
    <w:qFormat/>
    <w:uiPriority w:val="0"/>
    <w:rPr>
      <w:rFonts w:ascii="Arial" w:hAnsi="Arial" w:eastAsia="黑体"/>
      <w:b/>
      <w:bCs/>
      <w:kern w:val="2"/>
      <w:sz w:val="24"/>
      <w:szCs w:val="24"/>
    </w:rPr>
  </w:style>
  <w:style w:type="character" w:customStyle="1" w:styleId="63">
    <w:name w:val="标题 7 Char"/>
    <w:link w:val="8"/>
    <w:qFormat/>
    <w:uiPriority w:val="0"/>
    <w:rPr>
      <w:b/>
      <w:bCs/>
      <w:kern w:val="2"/>
      <w:sz w:val="24"/>
      <w:szCs w:val="24"/>
    </w:rPr>
  </w:style>
  <w:style w:type="character" w:customStyle="1" w:styleId="64">
    <w:name w:val="标题 8 Char"/>
    <w:link w:val="9"/>
    <w:qFormat/>
    <w:uiPriority w:val="0"/>
    <w:rPr>
      <w:rFonts w:ascii="Arial" w:hAnsi="Arial" w:eastAsia="黑体"/>
      <w:kern w:val="2"/>
      <w:sz w:val="24"/>
      <w:szCs w:val="24"/>
    </w:rPr>
  </w:style>
  <w:style w:type="character" w:customStyle="1" w:styleId="65">
    <w:name w:val="标题 9 Char"/>
    <w:link w:val="10"/>
    <w:qFormat/>
    <w:uiPriority w:val="0"/>
    <w:rPr>
      <w:rFonts w:ascii="Arial" w:hAnsi="Arial" w:eastAsia="黑体"/>
      <w:kern w:val="2"/>
      <w:sz w:val="21"/>
      <w:szCs w:val="21"/>
    </w:rPr>
  </w:style>
  <w:style w:type="character" w:customStyle="1" w:styleId="66">
    <w:name w:val="页眉 Char"/>
    <w:link w:val="18"/>
    <w:qFormat/>
    <w:uiPriority w:val="99"/>
    <w:rPr>
      <w:kern w:val="2"/>
      <w:sz w:val="18"/>
      <w:szCs w:val="18"/>
    </w:rPr>
  </w:style>
  <w:style w:type="character" w:customStyle="1" w:styleId="67">
    <w:name w:val="页脚 Char"/>
    <w:link w:val="17"/>
    <w:qFormat/>
    <w:uiPriority w:val="99"/>
    <w:rPr>
      <w:rFonts w:ascii="宋体"/>
      <w:kern w:val="2"/>
      <w:sz w:val="18"/>
      <w:szCs w:val="18"/>
    </w:rPr>
  </w:style>
  <w:style w:type="character" w:customStyle="1" w:styleId="68">
    <w:name w:val="批注框文本 Char"/>
    <w:link w:val="16"/>
    <w:semiHidden/>
    <w:qFormat/>
    <w:uiPriority w:val="99"/>
    <w:rPr>
      <w:kern w:val="2"/>
      <w:sz w:val="18"/>
      <w:szCs w:val="18"/>
    </w:rPr>
  </w:style>
  <w:style w:type="paragraph" w:customStyle="1" w:styleId="69">
    <w:name w:val="Quote"/>
    <w:basedOn w:val="1"/>
    <w:next w:val="1"/>
    <w:link w:val="70"/>
    <w:qFormat/>
    <w:uiPriority w:val="29"/>
    <w:rPr>
      <w:i/>
      <w:iCs/>
      <w:color w:val="000000"/>
    </w:rPr>
  </w:style>
  <w:style w:type="character" w:customStyle="1" w:styleId="70">
    <w:name w:val="引用 Char"/>
    <w:link w:val="69"/>
    <w:qFormat/>
    <w:uiPriority w:val="29"/>
    <w:rPr>
      <w:i/>
      <w:iCs/>
      <w:color w:val="000000"/>
      <w:kern w:val="2"/>
      <w:sz w:val="21"/>
      <w:szCs w:val="21"/>
    </w:rPr>
  </w:style>
  <w:style w:type="character" w:customStyle="1" w:styleId="71">
    <w:name w:val="标题 Char"/>
    <w:link w:val="26"/>
    <w:qFormat/>
    <w:uiPriority w:val="0"/>
    <w:rPr>
      <w:rFonts w:ascii="Arial" w:hAnsi="Arial" w:cs="Arial"/>
      <w:b/>
      <w:bCs/>
      <w:kern w:val="2"/>
      <w:sz w:val="32"/>
      <w:szCs w:val="32"/>
    </w:rPr>
  </w:style>
  <w:style w:type="paragraph" w:customStyle="1" w:styleId="7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7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7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文件_ICS"/>
    <w:basedOn w:val="1"/>
    <w:qFormat/>
    <w:uiPriority w:val="0"/>
    <w:pPr>
      <w:spacing w:line="0" w:lineRule="atLeast"/>
    </w:pPr>
    <w:rPr>
      <w:rFonts w:ascii="黑体" w:hAnsi="宋体" w:eastAsia="黑体"/>
    </w:rPr>
  </w:style>
  <w:style w:type="paragraph" w:customStyle="1" w:styleId="78">
    <w:name w:val="标准文件_标准正文"/>
    <w:basedOn w:val="1"/>
    <w:next w:val="37"/>
    <w:qFormat/>
    <w:uiPriority w:val="0"/>
    <w:pPr>
      <w:snapToGrid w:val="0"/>
      <w:ind w:firstLine="200" w:firstLineChars="200"/>
    </w:pPr>
    <w:rPr>
      <w:kern w:val="0"/>
    </w:rPr>
  </w:style>
  <w:style w:type="paragraph" w:customStyle="1" w:styleId="79">
    <w:name w:val="标准文件_版本"/>
    <w:basedOn w:val="78"/>
    <w:qFormat/>
    <w:uiPriority w:val="0"/>
    <w:pPr>
      <w:adjustRightInd/>
      <w:snapToGrid/>
      <w:ind w:firstLine="0" w:firstLineChars="0"/>
    </w:pPr>
    <w:rPr>
      <w:rFonts w:ascii="宋体" w:hAnsi="宋体"/>
      <w:kern w:val="2"/>
    </w:rPr>
  </w:style>
  <w:style w:type="paragraph" w:customStyle="1" w:styleId="80">
    <w:name w:val="标准文件_标准部门"/>
    <w:basedOn w:val="1"/>
    <w:qFormat/>
    <w:uiPriority w:val="0"/>
    <w:pPr>
      <w:jc w:val="center"/>
    </w:pPr>
    <w:rPr>
      <w:rFonts w:ascii="黑体" w:eastAsia="黑体"/>
      <w:kern w:val="0"/>
      <w:sz w:val="44"/>
    </w:rPr>
  </w:style>
  <w:style w:type="paragraph" w:customStyle="1" w:styleId="81">
    <w:name w:val="标准文件_标准代替"/>
    <w:basedOn w:val="1"/>
    <w:next w:val="1"/>
    <w:qFormat/>
    <w:uiPriority w:val="0"/>
    <w:pPr>
      <w:spacing w:line="310" w:lineRule="exact"/>
      <w:jc w:val="right"/>
    </w:pPr>
    <w:rPr>
      <w:rFonts w:ascii="宋体" w:hAnsi="宋体"/>
      <w:kern w:val="0"/>
    </w:rPr>
  </w:style>
  <w:style w:type="paragraph" w:customStyle="1" w:styleId="8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4">
    <w:name w:val="标准文件_页眉偶数页"/>
    <w:basedOn w:val="83"/>
    <w:next w:val="1"/>
    <w:qFormat/>
    <w:uiPriority w:val="0"/>
    <w:pPr>
      <w:jc w:val="left"/>
    </w:pPr>
  </w:style>
  <w:style w:type="paragraph" w:customStyle="1" w:styleId="8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86">
    <w:name w:val="标准文件_参考文献条目"/>
    <w:qFormat/>
    <w:uiPriority w:val="0"/>
    <w:pPr>
      <w:numPr>
        <w:ilvl w:val="0"/>
        <w:numId w:val="6"/>
      </w:numPr>
    </w:pPr>
    <w:rPr>
      <w:rFonts w:ascii="宋体" w:hAnsi="Times New Roman" w:eastAsia="宋体" w:cs="Times New Roman"/>
      <w:lang w:val="en-US" w:eastAsia="zh-CN" w:bidi="ar-SA"/>
    </w:rPr>
  </w:style>
  <w:style w:type="character" w:customStyle="1" w:styleId="87">
    <w:name w:val="标准文件_发布"/>
    <w:qFormat/>
    <w:uiPriority w:val="0"/>
    <w:rPr>
      <w:rFonts w:ascii="黑体" w:eastAsia="黑体"/>
      <w:spacing w:val="0"/>
      <w:w w:val="100"/>
      <w:position w:val="3"/>
      <w:sz w:val="28"/>
    </w:rPr>
  </w:style>
  <w:style w:type="paragraph" w:customStyle="1" w:styleId="88">
    <w:name w:val="标准文件_方框数字列项"/>
    <w:basedOn w:val="37"/>
    <w:qFormat/>
    <w:uiPriority w:val="0"/>
    <w:pPr>
      <w:numPr>
        <w:ilvl w:val="0"/>
        <w:numId w:val="7"/>
      </w:numPr>
      <w:ind w:firstLine="0" w:firstLineChars="0"/>
    </w:pPr>
  </w:style>
  <w:style w:type="paragraph" w:customStyle="1" w:styleId="89">
    <w:name w:val="标准文件_封面标准编号"/>
    <w:basedOn w:val="1"/>
    <w:next w:val="81"/>
    <w:qFormat/>
    <w:uiPriority w:val="0"/>
    <w:pPr>
      <w:spacing w:line="310" w:lineRule="exact"/>
      <w:jc w:val="right"/>
    </w:pPr>
    <w:rPr>
      <w:rFonts w:ascii="黑体" w:eastAsia="黑体"/>
      <w:kern w:val="0"/>
      <w:sz w:val="28"/>
    </w:rPr>
  </w:style>
  <w:style w:type="paragraph" w:customStyle="1" w:styleId="90">
    <w:name w:val="标准文件_封面标准分类号"/>
    <w:basedOn w:val="1"/>
    <w:qFormat/>
    <w:uiPriority w:val="0"/>
    <w:rPr>
      <w:rFonts w:ascii="黑体" w:eastAsia="黑体"/>
      <w:b/>
      <w:kern w:val="0"/>
      <w:sz w:val="28"/>
    </w:rPr>
  </w:style>
  <w:style w:type="paragraph" w:customStyle="1" w:styleId="91">
    <w:name w:val="标准文件_封面标准名称"/>
    <w:basedOn w:val="1"/>
    <w:qFormat/>
    <w:uiPriority w:val="0"/>
    <w:pPr>
      <w:spacing w:line="240" w:lineRule="auto"/>
      <w:jc w:val="center"/>
    </w:pPr>
    <w:rPr>
      <w:rFonts w:ascii="黑体" w:eastAsia="黑体"/>
      <w:kern w:val="0"/>
      <w:sz w:val="52"/>
    </w:rPr>
  </w:style>
  <w:style w:type="paragraph" w:customStyle="1" w:styleId="92">
    <w:name w:val="标准文件_封面标准英文名称"/>
    <w:basedOn w:val="1"/>
    <w:qFormat/>
    <w:uiPriority w:val="0"/>
    <w:pPr>
      <w:spacing w:line="240" w:lineRule="auto"/>
      <w:jc w:val="center"/>
    </w:pPr>
    <w:rPr>
      <w:rFonts w:ascii="黑体" w:eastAsia="黑体"/>
      <w:b/>
      <w:sz w:val="28"/>
    </w:rPr>
  </w:style>
  <w:style w:type="paragraph" w:customStyle="1" w:styleId="93">
    <w:name w:val="标准文件_封面发布日期"/>
    <w:basedOn w:val="1"/>
    <w:qFormat/>
    <w:uiPriority w:val="0"/>
    <w:pPr>
      <w:spacing w:line="310" w:lineRule="exact"/>
    </w:pPr>
    <w:rPr>
      <w:rFonts w:ascii="黑体" w:eastAsia="黑体"/>
      <w:kern w:val="0"/>
      <w:sz w:val="28"/>
    </w:rPr>
  </w:style>
  <w:style w:type="paragraph" w:customStyle="1" w:styleId="94">
    <w:name w:val="标准文件_封面密级"/>
    <w:basedOn w:val="1"/>
    <w:qFormat/>
    <w:uiPriority w:val="0"/>
    <w:rPr>
      <w:rFonts w:eastAsia="黑体"/>
      <w:sz w:val="32"/>
    </w:rPr>
  </w:style>
  <w:style w:type="paragraph" w:customStyle="1" w:styleId="95">
    <w:name w:val="标准文件_封面实施日期"/>
    <w:basedOn w:val="1"/>
    <w:qFormat/>
    <w:uiPriority w:val="0"/>
    <w:pPr>
      <w:spacing w:line="310" w:lineRule="exact"/>
      <w:jc w:val="right"/>
    </w:pPr>
    <w:rPr>
      <w:rFonts w:ascii="黑体" w:eastAsia="黑体"/>
      <w:sz w:val="28"/>
    </w:rPr>
  </w:style>
  <w:style w:type="paragraph" w:customStyle="1" w:styleId="96">
    <w:name w:val="标准文件_封面抬头"/>
    <w:basedOn w:val="37"/>
    <w:qFormat/>
    <w:uiPriority w:val="0"/>
    <w:pPr>
      <w:adjustRightInd w:val="0"/>
      <w:spacing w:line="800" w:lineRule="exact"/>
      <w:ind w:firstLine="0" w:firstLineChars="0"/>
      <w:jc w:val="distribute"/>
    </w:pPr>
    <w:rPr>
      <w:rFonts w:ascii="黑体" w:eastAsia="黑体"/>
      <w:b/>
      <w:sz w:val="64"/>
    </w:rPr>
  </w:style>
  <w:style w:type="paragraph" w:customStyle="1" w:styleId="97">
    <w:name w:val="标准文件_附录公式"/>
    <w:basedOn w:val="78"/>
    <w:next w:val="7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8">
    <w:name w:val="标准文件_附录图标题"/>
    <w:next w:val="37"/>
    <w:qFormat/>
    <w:uiPriority w:val="0"/>
    <w:pPr>
      <w:numPr>
        <w:ilvl w:val="1"/>
        <w:numId w:val="8"/>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99">
    <w:name w:val="标准文件_附录英文标识"/>
    <w:next w:val="13"/>
    <w:qFormat/>
    <w:uiPriority w:val="0"/>
    <w:pPr>
      <w:numPr>
        <w:ilvl w:val="0"/>
        <w:numId w:val="9"/>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00">
    <w:name w:val="正文文本 Char"/>
    <w:link w:val="13"/>
    <w:qFormat/>
    <w:uiPriority w:val="0"/>
    <w:rPr>
      <w:kern w:val="2"/>
      <w:sz w:val="21"/>
      <w:szCs w:val="21"/>
    </w:rPr>
  </w:style>
  <w:style w:type="paragraph" w:customStyle="1" w:styleId="101">
    <w:name w:val="标准文件_附录章标题"/>
    <w:next w:val="3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标准文件_公式后的破折号"/>
    <w:basedOn w:val="37"/>
    <w:next w:val="37"/>
    <w:qFormat/>
    <w:uiPriority w:val="0"/>
    <w:pPr>
      <w:ind w:left="488" w:leftChars="200" w:hanging="289" w:hangingChars="290"/>
    </w:pPr>
  </w:style>
  <w:style w:type="paragraph" w:customStyle="1" w:styleId="103">
    <w:name w:val="标准文件_前言、引言标题"/>
    <w:next w:val="1"/>
    <w:qFormat/>
    <w:uiPriority w:val="0"/>
    <w:pPr>
      <w:numPr>
        <w:ilvl w:val="0"/>
        <w:numId w:val="10"/>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104">
    <w:name w:val="标准文件_目次、标准名称标题"/>
    <w:basedOn w:val="103"/>
    <w:next w:val="37"/>
    <w:qFormat/>
    <w:uiPriority w:val="0"/>
    <w:pPr>
      <w:spacing w:line="460" w:lineRule="exact"/>
      <w:ind w:left="0" w:firstLine="0"/>
    </w:pPr>
  </w:style>
  <w:style w:type="paragraph" w:customStyle="1" w:styleId="105">
    <w:name w:val="标准文件_目录标题"/>
    <w:basedOn w:val="1"/>
    <w:qFormat/>
    <w:uiPriority w:val="0"/>
    <w:pPr>
      <w:spacing w:before="480" w:afterLines="150" w:line="240" w:lineRule="auto"/>
      <w:jc w:val="center"/>
    </w:pPr>
    <w:rPr>
      <w:rFonts w:ascii="黑体" w:eastAsia="黑体"/>
      <w:sz w:val="32"/>
    </w:rPr>
  </w:style>
  <w:style w:type="paragraph" w:customStyle="1" w:styleId="106">
    <w:name w:val="标准文件_破折号列项"/>
    <w:qFormat/>
    <w:uiPriority w:val="0"/>
    <w:pPr>
      <w:numPr>
        <w:ilvl w:val="0"/>
        <w:numId w:val="11"/>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7">
    <w:name w:val="标准文件_破折号列项（二级）"/>
    <w:basedOn w:val="106"/>
    <w:qFormat/>
    <w:uiPriority w:val="0"/>
    <w:pPr>
      <w:numPr>
        <w:numId w:val="12"/>
      </w:numPr>
    </w:pPr>
  </w:style>
  <w:style w:type="character" w:customStyle="1" w:styleId="108">
    <w:name w:val="不明显参考1"/>
    <w:qFormat/>
    <w:uiPriority w:val="31"/>
    <w:rPr>
      <w:smallCaps/>
      <w:color w:val="C0504D"/>
      <w:u w:val="single"/>
    </w:rPr>
  </w:style>
  <w:style w:type="paragraph" w:customStyle="1" w:styleId="109">
    <w:name w:val="标准文件_示例后续"/>
    <w:basedOn w:val="1"/>
    <w:qFormat/>
    <w:uiPriority w:val="0"/>
    <w:pPr>
      <w:adjustRightInd/>
      <w:spacing w:line="240" w:lineRule="auto"/>
      <w:ind w:firstLine="200" w:firstLineChars="200"/>
    </w:pPr>
    <w:rPr>
      <w:sz w:val="18"/>
      <w:szCs w:val="24"/>
    </w:rPr>
  </w:style>
  <w:style w:type="paragraph" w:customStyle="1" w:styleId="110">
    <w:name w:val="标准文件_数字编号列项"/>
    <w:qFormat/>
    <w:uiPriority w:val="0"/>
    <w:pPr>
      <w:numPr>
        <w:ilvl w:val="0"/>
        <w:numId w:val="13"/>
      </w:numPr>
      <w:jc w:val="both"/>
    </w:pPr>
    <w:rPr>
      <w:rFonts w:ascii="宋体" w:hAnsi="宋体" w:eastAsia="宋体" w:cs="Times New Roman"/>
      <w:sz w:val="21"/>
      <w:lang w:val="en-US" w:eastAsia="zh-CN" w:bidi="ar-SA"/>
    </w:rPr>
  </w:style>
  <w:style w:type="character" w:customStyle="1" w:styleId="111">
    <w:name w:val="脚注文本 Char"/>
    <w:link w:val="21"/>
    <w:semiHidden/>
    <w:qFormat/>
    <w:uiPriority w:val="0"/>
    <w:rPr>
      <w:rFonts w:ascii="宋体"/>
      <w:kern w:val="2"/>
      <w:sz w:val="18"/>
      <w:szCs w:val="18"/>
    </w:rPr>
  </w:style>
  <w:style w:type="paragraph" w:customStyle="1" w:styleId="11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13">
    <w:name w:val="标准文件_图表脚注"/>
    <w:basedOn w:val="1"/>
    <w:next w:val="37"/>
    <w:qFormat/>
    <w:uiPriority w:val="0"/>
    <w:pPr>
      <w:numPr>
        <w:ilvl w:val="0"/>
        <w:numId w:val="14"/>
      </w:numPr>
      <w:spacing w:line="240" w:lineRule="auto"/>
      <w:jc w:val="left"/>
    </w:pPr>
    <w:rPr>
      <w:rFonts w:ascii="宋体" w:hAnsi="宋体"/>
      <w:sz w:val="18"/>
    </w:rPr>
  </w:style>
  <w:style w:type="character" w:customStyle="1" w:styleId="114">
    <w:name w:val="标准文件_图表脚注内容"/>
    <w:qFormat/>
    <w:uiPriority w:val="0"/>
    <w:rPr>
      <w:rFonts w:ascii="宋体" w:hAnsi="宋体" w:eastAsia="宋体" w:cs="Times New Roman"/>
      <w:spacing w:val="0"/>
      <w:sz w:val="18"/>
      <w:vertAlign w:val="superscript"/>
    </w:rPr>
  </w:style>
  <w:style w:type="paragraph" w:customStyle="1" w:styleId="115">
    <w:name w:val="标准文件_一致程度"/>
    <w:basedOn w:val="1"/>
    <w:qFormat/>
    <w:uiPriority w:val="0"/>
    <w:pPr>
      <w:spacing w:line="440" w:lineRule="exact"/>
      <w:jc w:val="center"/>
    </w:pPr>
    <w:rPr>
      <w:sz w:val="28"/>
    </w:rPr>
  </w:style>
  <w:style w:type="paragraph" w:customStyle="1" w:styleId="116">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7">
    <w:name w:val="标准文件_英文图表脚注"/>
    <w:basedOn w:val="78"/>
    <w:qFormat/>
    <w:uiPriority w:val="0"/>
    <w:pPr>
      <w:widowControl/>
      <w:adjustRightInd/>
      <w:snapToGrid/>
      <w:spacing w:line="240" w:lineRule="auto"/>
      <w:ind w:left="79" w:hanging="79" w:hangingChars="80"/>
    </w:pPr>
    <w:rPr>
      <w:rFonts w:ascii="宋体" w:hAnsi="宋体"/>
    </w:rPr>
  </w:style>
  <w:style w:type="paragraph" w:customStyle="1" w:styleId="118">
    <w:name w:val="标准文件_数字编号列项（二级）"/>
    <w:qFormat/>
    <w:uiPriority w:val="0"/>
    <w:pPr>
      <w:numPr>
        <w:ilvl w:val="1"/>
        <w:numId w:val="15"/>
      </w:numPr>
      <w:jc w:val="both"/>
    </w:pPr>
    <w:rPr>
      <w:rFonts w:ascii="宋体" w:hAnsi="Times New Roman" w:eastAsia="宋体" w:cs="Times New Roman"/>
      <w:sz w:val="21"/>
      <w:lang w:val="en-US" w:eastAsia="zh-CN" w:bidi="ar-SA"/>
    </w:rPr>
  </w:style>
  <w:style w:type="paragraph" w:customStyle="1" w:styleId="119">
    <w:name w:val="标准文件_英文注："/>
    <w:basedOn w:val="1"/>
    <w:next w:val="37"/>
    <w:qFormat/>
    <w:uiPriority w:val="0"/>
    <w:pPr>
      <w:numPr>
        <w:ilvl w:val="0"/>
        <w:numId w:val="16"/>
      </w:numPr>
      <w:tabs>
        <w:tab w:val="left" w:pos="420"/>
      </w:tabs>
      <w:autoSpaceDE w:val="0"/>
      <w:autoSpaceDN w:val="0"/>
      <w:spacing w:line="240" w:lineRule="auto"/>
    </w:pPr>
    <w:rPr>
      <w:rFonts w:ascii="宋体" w:hAnsi="宋体"/>
      <w:kern w:val="0"/>
      <w:sz w:val="18"/>
      <w:szCs w:val="20"/>
    </w:rPr>
  </w:style>
  <w:style w:type="paragraph" w:customStyle="1" w:styleId="120">
    <w:name w:val="标准文件_英文注×："/>
    <w:basedOn w:val="1"/>
    <w:qFormat/>
    <w:uiPriority w:val="0"/>
    <w:pPr>
      <w:numPr>
        <w:ilvl w:val="0"/>
        <w:numId w:val="17"/>
      </w:numPr>
      <w:tabs>
        <w:tab w:val="left" w:pos="210"/>
      </w:tabs>
      <w:autoSpaceDE w:val="0"/>
      <w:autoSpaceDN w:val="0"/>
      <w:spacing w:line="240" w:lineRule="auto"/>
    </w:pPr>
    <w:rPr>
      <w:rFonts w:ascii="宋体" w:hAnsi="宋体"/>
      <w:kern w:val="0"/>
      <w:szCs w:val="20"/>
    </w:rPr>
  </w:style>
  <w:style w:type="paragraph" w:customStyle="1" w:styleId="121">
    <w:name w:val="标准文件_正文表标题"/>
    <w:next w:val="37"/>
    <w:qFormat/>
    <w:uiPriority w:val="0"/>
    <w:pPr>
      <w:numPr>
        <w:ilvl w:val="0"/>
        <w:numId w:val="18"/>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22">
    <w:name w:val="标准文件_正文公式"/>
    <w:basedOn w:val="1"/>
    <w:next w:val="78"/>
    <w:qFormat/>
    <w:uiPriority w:val="0"/>
    <w:pPr>
      <w:tabs>
        <w:tab w:val="center" w:pos="4678"/>
        <w:tab w:val="right" w:leader="middleDot" w:pos="9356"/>
      </w:tabs>
      <w:spacing w:line="240" w:lineRule="auto"/>
    </w:pPr>
    <w:rPr>
      <w:rFonts w:ascii="宋体" w:hAnsi="宋体"/>
    </w:rPr>
  </w:style>
  <w:style w:type="paragraph" w:customStyle="1" w:styleId="123">
    <w:name w:val="标准文件_正文图标题"/>
    <w:next w:val="37"/>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124">
    <w:name w:val="标准文件_正文英文表标题"/>
    <w:next w:val="37"/>
    <w:qFormat/>
    <w:uiPriority w:val="0"/>
    <w:pPr>
      <w:numPr>
        <w:ilvl w:val="0"/>
        <w:numId w:val="20"/>
      </w:numPr>
      <w:jc w:val="center"/>
    </w:pPr>
    <w:rPr>
      <w:rFonts w:ascii="黑体" w:hAnsi="Times New Roman" w:eastAsia="黑体" w:cs="Times New Roman"/>
      <w:sz w:val="21"/>
      <w:lang w:val="en-US" w:eastAsia="zh-CN" w:bidi="ar-SA"/>
    </w:rPr>
  </w:style>
  <w:style w:type="paragraph" w:customStyle="1" w:styleId="125">
    <w:name w:val="标准文件_正文英文图标题"/>
    <w:next w:val="37"/>
    <w:qFormat/>
    <w:uiPriority w:val="0"/>
    <w:pPr>
      <w:numPr>
        <w:ilvl w:val="0"/>
        <w:numId w:val="21"/>
      </w:numPr>
      <w:jc w:val="center"/>
    </w:pPr>
    <w:rPr>
      <w:rFonts w:ascii="黑体" w:hAnsi="Times New Roman" w:eastAsia="黑体" w:cs="Times New Roman"/>
      <w:sz w:val="21"/>
      <w:lang w:val="en-US" w:eastAsia="zh-CN" w:bidi="ar-SA"/>
    </w:rPr>
  </w:style>
  <w:style w:type="paragraph" w:customStyle="1" w:styleId="126">
    <w:name w:val="标准文件_编号列项（三级）"/>
    <w:qFormat/>
    <w:uiPriority w:val="0"/>
    <w:pPr>
      <w:numPr>
        <w:ilvl w:val="2"/>
        <w:numId w:val="15"/>
      </w:numPr>
    </w:pPr>
    <w:rPr>
      <w:rFonts w:ascii="宋体" w:hAnsi="Times New Roman" w:eastAsia="宋体" w:cs="Times New Roman"/>
      <w:sz w:val="21"/>
      <w:lang w:val="en-US" w:eastAsia="zh-CN" w:bidi="ar-SA"/>
    </w:rPr>
  </w:style>
  <w:style w:type="paragraph" w:customStyle="1" w:styleId="127">
    <w:name w:val="二级无标题条"/>
    <w:basedOn w:val="1"/>
    <w:qFormat/>
    <w:uiPriority w:val="0"/>
    <w:pPr>
      <w:numPr>
        <w:ilvl w:val="3"/>
        <w:numId w:val="22"/>
      </w:numPr>
      <w:adjustRightInd/>
      <w:spacing w:line="240" w:lineRule="auto"/>
    </w:pPr>
    <w:rPr>
      <w:rFonts w:ascii="宋体" w:hAnsi="宋体"/>
      <w:szCs w:val="24"/>
    </w:rPr>
  </w:style>
  <w:style w:type="paragraph" w:customStyle="1" w:styleId="128">
    <w:name w:val="发布部门"/>
    <w:next w:val="3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3">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4">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5">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6">
    <w:name w:val="封面正文"/>
    <w:qFormat/>
    <w:uiPriority w:val="0"/>
    <w:pPr>
      <w:jc w:val="both"/>
    </w:pPr>
    <w:rPr>
      <w:rFonts w:ascii="Times New Roman" w:hAnsi="Times New Roman" w:eastAsia="宋体" w:cs="Times New Roman"/>
      <w:lang w:val="en-US" w:eastAsia="zh-CN" w:bidi="ar-SA"/>
    </w:rPr>
  </w:style>
  <w:style w:type="paragraph" w:customStyle="1" w:styleId="137">
    <w:name w:val="附录二级无标题条"/>
    <w:basedOn w:val="1"/>
    <w:next w:val="3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8">
    <w:name w:val="附录三级无标题条"/>
    <w:basedOn w:val="137"/>
    <w:next w:val="37"/>
    <w:qFormat/>
    <w:uiPriority w:val="0"/>
    <w:pPr>
      <w:outlineLvl w:val="4"/>
    </w:pPr>
  </w:style>
  <w:style w:type="paragraph" w:customStyle="1" w:styleId="139">
    <w:name w:val="附录四级无标题条"/>
    <w:basedOn w:val="138"/>
    <w:next w:val="37"/>
    <w:qFormat/>
    <w:uiPriority w:val="0"/>
    <w:pPr>
      <w:outlineLvl w:val="5"/>
    </w:pPr>
  </w:style>
  <w:style w:type="paragraph" w:customStyle="1" w:styleId="140">
    <w:name w:val="附录图"/>
    <w:next w:val="3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1">
    <w:name w:val="标准文件_一级项"/>
    <w:qFormat/>
    <w:uiPriority w:val="0"/>
    <w:pPr>
      <w:numPr>
        <w:ilvl w:val="0"/>
        <w:numId w:val="23"/>
      </w:numPr>
    </w:pPr>
    <w:rPr>
      <w:rFonts w:ascii="宋体" w:hAnsi="Times New Roman" w:eastAsia="宋体" w:cs="Times New Roman"/>
      <w:sz w:val="21"/>
      <w:lang w:val="en-US" w:eastAsia="zh-CN" w:bidi="ar-SA"/>
    </w:rPr>
  </w:style>
  <w:style w:type="paragraph" w:customStyle="1" w:styleId="142">
    <w:name w:val="附录五级无标题条"/>
    <w:basedOn w:val="139"/>
    <w:next w:val="37"/>
    <w:qFormat/>
    <w:uiPriority w:val="0"/>
    <w:pPr>
      <w:outlineLvl w:val="6"/>
    </w:pPr>
  </w:style>
  <w:style w:type="paragraph" w:customStyle="1" w:styleId="143">
    <w:name w:val="附录性质"/>
    <w:basedOn w:val="1"/>
    <w:qFormat/>
    <w:uiPriority w:val="0"/>
    <w:pPr>
      <w:widowControl/>
      <w:adjustRightInd/>
      <w:jc w:val="center"/>
    </w:pPr>
    <w:rPr>
      <w:rFonts w:ascii="黑体" w:eastAsia="黑体"/>
    </w:rPr>
  </w:style>
  <w:style w:type="paragraph" w:customStyle="1" w:styleId="144">
    <w:name w:val="附录一级无标题条"/>
    <w:basedOn w:val="101"/>
    <w:next w:val="37"/>
    <w:qFormat/>
    <w:uiPriority w:val="0"/>
    <w:pPr>
      <w:autoSpaceDN w:val="0"/>
      <w:outlineLvl w:val="2"/>
    </w:pPr>
    <w:rPr>
      <w:rFonts w:ascii="宋体" w:hAnsi="宋体" w:eastAsia="宋体"/>
    </w:rPr>
  </w:style>
  <w:style w:type="character" w:customStyle="1" w:styleId="145">
    <w:name w:val="个人答复风格"/>
    <w:qFormat/>
    <w:uiPriority w:val="0"/>
    <w:rPr>
      <w:rFonts w:ascii="Arial" w:hAnsi="Arial" w:eastAsia="宋体" w:cs="Arial"/>
      <w:color w:val="auto"/>
      <w:spacing w:val="0"/>
      <w:sz w:val="20"/>
    </w:rPr>
  </w:style>
  <w:style w:type="character" w:customStyle="1" w:styleId="146">
    <w:name w:val="个人撰写风格"/>
    <w:qFormat/>
    <w:uiPriority w:val="0"/>
    <w:rPr>
      <w:rFonts w:ascii="Arial" w:hAnsi="Arial" w:eastAsia="宋体" w:cs="Arial"/>
      <w:color w:val="auto"/>
      <w:spacing w:val="0"/>
      <w:sz w:val="20"/>
    </w:rPr>
  </w:style>
  <w:style w:type="paragraph" w:customStyle="1" w:styleId="147">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8">
    <w:name w:val="列项——"/>
    <w:qFormat/>
    <w:uiPriority w:val="0"/>
    <w:pPr>
      <w:widowControl w:val="0"/>
      <w:numPr>
        <w:ilvl w:val="0"/>
        <w:numId w:val="24"/>
      </w:numPr>
      <w:jc w:val="both"/>
    </w:pPr>
    <w:rPr>
      <w:rFonts w:ascii="宋体" w:hAnsi="宋体" w:eastAsia="宋体" w:cs="Times New Roman"/>
      <w:sz w:val="21"/>
      <w:lang w:val="en-US" w:eastAsia="zh-CN" w:bidi="ar-SA"/>
    </w:rPr>
  </w:style>
  <w:style w:type="paragraph" w:customStyle="1" w:styleId="149">
    <w:name w:val="列项·"/>
    <w:basedOn w:val="37"/>
    <w:qFormat/>
    <w:uiPriority w:val="0"/>
    <w:pPr>
      <w:tabs>
        <w:tab w:val="left" w:pos="840"/>
      </w:tabs>
    </w:pPr>
  </w:style>
  <w:style w:type="paragraph" w:customStyle="1" w:styleId="15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1">
    <w:name w:val="目录 21"/>
    <w:basedOn w:val="1"/>
    <w:next w:val="1"/>
    <w:semiHidden/>
    <w:qFormat/>
    <w:uiPriority w:val="0"/>
    <w:pPr>
      <w:adjustRightInd/>
      <w:spacing w:line="240" w:lineRule="auto"/>
      <w:jc w:val="left"/>
    </w:pPr>
    <w:rPr>
      <w:bCs/>
      <w:iCs/>
    </w:rPr>
  </w:style>
  <w:style w:type="paragraph" w:customStyle="1" w:styleId="152">
    <w:name w:val="目录 31"/>
    <w:basedOn w:val="1"/>
    <w:next w:val="1"/>
    <w:semiHidden/>
    <w:qFormat/>
    <w:uiPriority w:val="0"/>
    <w:pPr>
      <w:spacing w:line="240" w:lineRule="auto"/>
    </w:pPr>
    <w:rPr>
      <w:rFonts w:ascii="宋体" w:hAnsi="宋体"/>
      <w:iCs/>
    </w:rPr>
  </w:style>
  <w:style w:type="paragraph" w:customStyle="1" w:styleId="153">
    <w:name w:val="目录 41"/>
    <w:basedOn w:val="1"/>
    <w:next w:val="1"/>
    <w:semiHidden/>
    <w:qFormat/>
    <w:uiPriority w:val="0"/>
    <w:pPr>
      <w:adjustRightInd/>
      <w:spacing w:line="240" w:lineRule="auto"/>
      <w:jc w:val="left"/>
    </w:pPr>
  </w:style>
  <w:style w:type="paragraph" w:customStyle="1" w:styleId="154">
    <w:name w:val="目录 51"/>
    <w:basedOn w:val="1"/>
    <w:next w:val="1"/>
    <w:semiHidden/>
    <w:qFormat/>
    <w:uiPriority w:val="0"/>
    <w:pPr>
      <w:spacing w:line="240" w:lineRule="auto"/>
    </w:pPr>
    <w:rPr>
      <w:rFonts w:ascii="宋体" w:hAnsi="宋体"/>
    </w:rPr>
  </w:style>
  <w:style w:type="paragraph" w:customStyle="1" w:styleId="155">
    <w:name w:val="目录 61"/>
    <w:basedOn w:val="1"/>
    <w:next w:val="1"/>
    <w:semiHidden/>
    <w:qFormat/>
    <w:uiPriority w:val="0"/>
    <w:pPr>
      <w:adjustRightInd/>
      <w:spacing w:line="240" w:lineRule="auto"/>
      <w:jc w:val="left"/>
    </w:pPr>
  </w:style>
  <w:style w:type="paragraph" w:customStyle="1" w:styleId="156">
    <w:name w:val="目录 71"/>
    <w:basedOn w:val="155"/>
    <w:semiHidden/>
    <w:qFormat/>
    <w:uiPriority w:val="0"/>
    <w:pPr>
      <w:ind w:left="1260"/>
    </w:pPr>
  </w:style>
  <w:style w:type="paragraph" w:customStyle="1" w:styleId="157">
    <w:name w:val="目录 81"/>
    <w:basedOn w:val="156"/>
    <w:semiHidden/>
    <w:qFormat/>
    <w:uiPriority w:val="0"/>
    <w:pPr>
      <w:ind w:left="1470"/>
    </w:pPr>
  </w:style>
  <w:style w:type="paragraph" w:customStyle="1" w:styleId="158">
    <w:name w:val="目录 91"/>
    <w:basedOn w:val="157"/>
    <w:semiHidden/>
    <w:qFormat/>
    <w:uiPriority w:val="0"/>
    <w:pPr>
      <w:ind w:left="1680"/>
    </w:pPr>
  </w:style>
  <w:style w:type="paragraph" w:customStyle="1" w:styleId="15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0">
    <w:name w:val="其他发布部门"/>
    <w:basedOn w:val="128"/>
    <w:qFormat/>
    <w:uiPriority w:val="0"/>
    <w:pPr>
      <w:spacing w:line="0" w:lineRule="atLeast"/>
    </w:pPr>
    <w:rPr>
      <w:rFonts w:ascii="黑体" w:eastAsia="黑体"/>
      <w:b w:val="0"/>
    </w:rPr>
  </w:style>
  <w:style w:type="paragraph" w:customStyle="1" w:styleId="161">
    <w:name w:val="三级无标题条"/>
    <w:basedOn w:val="1"/>
    <w:qFormat/>
    <w:uiPriority w:val="0"/>
    <w:pPr>
      <w:numPr>
        <w:ilvl w:val="4"/>
        <w:numId w:val="22"/>
      </w:numPr>
      <w:adjustRightInd/>
      <w:spacing w:line="240" w:lineRule="auto"/>
    </w:pPr>
    <w:rPr>
      <w:rFonts w:ascii="宋体" w:hAnsi="宋体"/>
      <w:szCs w:val="24"/>
    </w:rPr>
  </w:style>
  <w:style w:type="paragraph" w:customStyle="1" w:styleId="162">
    <w:name w:val="实施日期"/>
    <w:basedOn w:val="129"/>
    <w:qFormat/>
    <w:uiPriority w:val="0"/>
    <w:pPr>
      <w:framePr w:hSpace="0" w:xAlign="right"/>
      <w:jc w:val="right"/>
    </w:pPr>
  </w:style>
  <w:style w:type="paragraph" w:customStyle="1" w:styleId="163">
    <w:name w:val="四级无标题条"/>
    <w:basedOn w:val="1"/>
    <w:qFormat/>
    <w:uiPriority w:val="0"/>
    <w:pPr>
      <w:numPr>
        <w:ilvl w:val="5"/>
        <w:numId w:val="22"/>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37"/>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22"/>
      </w:numPr>
      <w:adjustRightInd/>
    </w:pPr>
    <w:rPr>
      <w:szCs w:val="24"/>
    </w:rPr>
  </w:style>
  <w:style w:type="paragraph" w:customStyle="1" w:styleId="167">
    <w:name w:val="一级无标题条"/>
    <w:basedOn w:val="1"/>
    <w:qFormat/>
    <w:uiPriority w:val="0"/>
    <w:pPr>
      <w:numPr>
        <w:ilvl w:val="2"/>
        <w:numId w:val="22"/>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五级无标题"/>
    <w:basedOn w:val="42"/>
    <w:qFormat/>
    <w:uiPriority w:val="0"/>
    <w:pPr>
      <w:spacing w:beforeLines="0" w:afterLines="0"/>
      <w:outlineLvl w:val="9"/>
    </w:pPr>
    <w:rPr>
      <w:rFonts w:ascii="宋体" w:eastAsia="宋体"/>
    </w:rPr>
  </w:style>
  <w:style w:type="paragraph" w:customStyle="1" w:styleId="171">
    <w:name w:val="标准文件_三级无标题"/>
    <w:basedOn w:val="35"/>
    <w:qFormat/>
    <w:uiPriority w:val="0"/>
    <w:pPr>
      <w:spacing w:beforeLines="0" w:afterLines="0"/>
      <w:outlineLvl w:val="9"/>
    </w:pPr>
    <w:rPr>
      <w:rFonts w:ascii="宋体" w:eastAsia="宋体"/>
    </w:rPr>
  </w:style>
  <w:style w:type="paragraph" w:customStyle="1" w:styleId="172">
    <w:name w:val="标准文件_二级无标题"/>
    <w:basedOn w:val="36"/>
    <w:qFormat/>
    <w:uiPriority w:val="0"/>
    <w:pPr>
      <w:spacing w:beforeLines="0" w:afterLines="0"/>
      <w:outlineLvl w:val="9"/>
    </w:pPr>
    <w:rPr>
      <w:rFonts w:ascii="宋体" w:eastAsia="宋体"/>
    </w:rPr>
  </w:style>
  <w:style w:type="paragraph" w:customStyle="1" w:styleId="173">
    <w:name w:val="标准_四级无标题"/>
    <w:basedOn w:val="41"/>
    <w:next w:val="37"/>
    <w:qFormat/>
    <w:uiPriority w:val="0"/>
    <w:rPr>
      <w:rFonts w:eastAsia="宋体"/>
    </w:rPr>
  </w:style>
  <w:style w:type="paragraph" w:customStyle="1" w:styleId="174">
    <w:name w:val="标准文件_四级无标题"/>
    <w:basedOn w:val="41"/>
    <w:qFormat/>
    <w:uiPriority w:val="0"/>
    <w:pPr>
      <w:spacing w:beforeLines="0" w:afterLines="0"/>
      <w:outlineLvl w:val="9"/>
    </w:pPr>
    <w:rPr>
      <w:rFonts w:ascii="宋体" w:hAnsi="黑体" w:eastAsia="宋体"/>
      <w:szCs w:val="52"/>
    </w:rPr>
  </w:style>
  <w:style w:type="paragraph" w:customStyle="1" w:styleId="175">
    <w:name w:val="标准文件_大写罗马数字编号列项"/>
    <w:basedOn w:val="37"/>
    <w:qFormat/>
    <w:uiPriority w:val="0"/>
    <w:pPr>
      <w:numPr>
        <w:ilvl w:val="0"/>
        <w:numId w:val="25"/>
      </w:numPr>
      <w:ind w:firstLine="0" w:firstLineChars="0"/>
    </w:pPr>
    <w:rPr>
      <w:rFonts w:ascii="Times New Roman" w:cs="Arial"/>
      <w:szCs w:val="28"/>
    </w:rPr>
  </w:style>
  <w:style w:type="paragraph" w:customStyle="1" w:styleId="176">
    <w:name w:val="标准文件_小写罗马数字编号列项"/>
    <w:basedOn w:val="37"/>
    <w:qFormat/>
    <w:uiPriority w:val="0"/>
    <w:pPr>
      <w:numPr>
        <w:ilvl w:val="0"/>
        <w:numId w:val="26"/>
      </w:numPr>
      <w:ind w:firstLine="0" w:firstLineChars="0"/>
    </w:pPr>
    <w:rPr>
      <w:rFonts w:cs="Arial"/>
      <w:szCs w:val="28"/>
    </w:rPr>
  </w:style>
  <w:style w:type="paragraph" w:customStyle="1" w:styleId="177">
    <w:name w:val="标准文件_附录标题"/>
    <w:basedOn w:val="51"/>
    <w:qFormat/>
    <w:uiPriority w:val="0"/>
    <w:pPr>
      <w:numPr>
        <w:numId w:val="0"/>
      </w:numPr>
      <w:spacing w:after="280"/>
      <w:outlineLvl w:val="9"/>
    </w:pPr>
  </w:style>
  <w:style w:type="paragraph" w:customStyle="1" w:styleId="178">
    <w:name w:val="标准文件_二级项"/>
    <w:qFormat/>
    <w:uiPriority w:val="0"/>
    <w:rPr>
      <w:rFonts w:ascii="宋体" w:hAnsi="Times New Roman" w:eastAsia="宋体" w:cs="Times New Roman"/>
      <w:sz w:val="21"/>
      <w:lang w:val="en-US" w:eastAsia="zh-CN" w:bidi="ar-SA"/>
    </w:rPr>
  </w:style>
  <w:style w:type="paragraph" w:customStyle="1" w:styleId="179">
    <w:name w:val="标准文件_三级项"/>
    <w:basedOn w:val="1"/>
    <w:qFormat/>
    <w:uiPriority w:val="0"/>
    <w:pPr>
      <w:numPr>
        <w:ilvl w:val="2"/>
        <w:numId w:val="23"/>
      </w:numPr>
      <w:spacing w:line="536870612" w:lineRule="auto"/>
    </w:pPr>
    <w:rPr>
      <w:rFonts w:ascii="Times New Roman" w:hAnsi="Times New Roman"/>
    </w:rPr>
  </w:style>
  <w:style w:type="paragraph" w:customStyle="1" w:styleId="180">
    <w:name w:val="图表脚注说明"/>
    <w:basedOn w:val="1"/>
    <w:next w:val="37"/>
    <w:qFormat/>
    <w:uiPriority w:val="0"/>
    <w:pPr>
      <w:numPr>
        <w:ilvl w:val="0"/>
        <w:numId w:val="27"/>
      </w:numPr>
      <w:adjustRightInd/>
      <w:spacing w:line="240" w:lineRule="auto"/>
    </w:pPr>
    <w:rPr>
      <w:rFonts w:ascii="宋体" w:hAnsi="Times New Roman"/>
      <w:sz w:val="18"/>
      <w:szCs w:val="18"/>
    </w:rPr>
  </w:style>
  <w:style w:type="paragraph" w:customStyle="1" w:styleId="181">
    <w:name w:val="标准文件_字母编号列项（一级）"/>
    <w:qFormat/>
    <w:uiPriority w:val="0"/>
    <w:pPr>
      <w:numPr>
        <w:ilvl w:val="0"/>
        <w:numId w:val="15"/>
      </w:numPr>
      <w:jc w:val="both"/>
    </w:pPr>
    <w:rPr>
      <w:rFonts w:ascii="宋体" w:hAnsi="Times New Roman" w:eastAsia="宋体" w:cs="Times New Roman"/>
      <w:sz w:val="21"/>
      <w:lang w:val="en-US" w:eastAsia="zh-CN" w:bidi="ar-SA"/>
    </w:rPr>
  </w:style>
  <w:style w:type="paragraph" w:customStyle="1" w:styleId="182">
    <w:name w:val="标准文件_索引字母"/>
    <w:next w:val="37"/>
    <w:qFormat/>
    <w:uiPriority w:val="0"/>
    <w:pPr>
      <w:jc w:val="center"/>
    </w:pPr>
    <w:rPr>
      <w:rFonts w:ascii="宋体" w:hAnsi="宋体" w:eastAsia="Times New Roman" w:cs="Times New Roman"/>
      <w:b/>
      <w:kern w:val="2"/>
      <w:sz w:val="21"/>
      <w:lang w:val="en-US" w:eastAsia="zh-CN" w:bidi="ar-SA"/>
    </w:rPr>
  </w:style>
  <w:style w:type="paragraph" w:customStyle="1" w:styleId="183">
    <w:name w:val="标准文件_附录前"/>
    <w:next w:val="3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37"/>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37"/>
    <w:qFormat/>
    <w:uiPriority w:val="0"/>
    <w:rPr>
      <w:rFonts w:ascii="宋体" w:hAnsi="Times New Roman"/>
      <w:sz w:val="21"/>
    </w:rPr>
  </w:style>
  <w:style w:type="paragraph" w:customStyle="1" w:styleId="188">
    <w:name w:val="标准文件_表格续"/>
    <w:basedOn w:val="37"/>
    <w:next w:val="37"/>
    <w:qFormat/>
    <w:uiPriority w:val="0"/>
    <w:pPr>
      <w:jc w:val="center"/>
    </w:pPr>
    <w:rPr>
      <w:rFonts w:ascii="黑体" w:hAnsi="黑体" w:eastAsia="黑体"/>
    </w:rPr>
  </w:style>
  <w:style w:type="character" w:customStyle="1" w:styleId="189">
    <w:name w:val="Placeholder Text"/>
    <w:basedOn w:val="29"/>
    <w:semiHidden/>
    <w:qFormat/>
    <w:uiPriority w:val="99"/>
    <w:rPr>
      <w:color w:val="808080"/>
    </w:rPr>
  </w:style>
  <w:style w:type="paragraph" w:customStyle="1" w:styleId="190">
    <w:name w:val="标准文件_二级项2"/>
    <w:basedOn w:val="37"/>
    <w:qFormat/>
    <w:uiPriority w:val="0"/>
    <w:pPr>
      <w:numPr>
        <w:ilvl w:val="1"/>
        <w:numId w:val="23"/>
      </w:numPr>
      <w:ind w:firstLine="0" w:firstLineChars="0"/>
    </w:pPr>
  </w:style>
  <w:style w:type="paragraph" w:customStyle="1" w:styleId="191">
    <w:name w:val="标准文件_三级项2"/>
    <w:basedOn w:val="37"/>
    <w:qFormat/>
    <w:uiPriority w:val="0"/>
    <w:pPr>
      <w:numPr>
        <w:ilvl w:val="0"/>
        <w:numId w:val="30"/>
      </w:numPr>
      <w:spacing w:line="300" w:lineRule="exact"/>
      <w:ind w:firstLineChars="0"/>
    </w:pPr>
    <w:rPr>
      <w:rFonts w:ascii="Times New Roman"/>
    </w:rPr>
  </w:style>
  <w:style w:type="paragraph" w:customStyle="1" w:styleId="192">
    <w:name w:val="标准文件_一级项2"/>
    <w:basedOn w:val="37"/>
    <w:qFormat/>
    <w:uiPriority w:val="0"/>
    <w:pPr>
      <w:numPr>
        <w:ilvl w:val="0"/>
        <w:numId w:val="31"/>
      </w:numPr>
      <w:spacing w:line="300" w:lineRule="exact"/>
      <w:ind w:firstLineChars="0"/>
    </w:pPr>
    <w:rPr>
      <w:rFonts w:ascii="Times New Roman"/>
    </w:rPr>
  </w:style>
  <w:style w:type="paragraph" w:customStyle="1" w:styleId="193">
    <w:name w:val="标准文件_提示"/>
    <w:basedOn w:val="37"/>
    <w:next w:val="37"/>
    <w:qFormat/>
    <w:uiPriority w:val="0"/>
    <w:pPr>
      <w:ind w:firstLine="420"/>
    </w:pPr>
    <w:rPr>
      <w:rFonts w:ascii="黑体" w:eastAsia="黑体"/>
    </w:rPr>
  </w:style>
  <w:style w:type="character" w:customStyle="1" w:styleId="194">
    <w:name w:val="标准文件_来源"/>
    <w:basedOn w:val="29"/>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9"/>
    <w:qFormat/>
    <w:uiPriority w:val="0"/>
    <w:pPr>
      <w:framePr w:w="3997" w:h="471" w:hRule="exact" w:hSpace="0" w:vSpace="181" w:vAnchor="page" w:hAnchor="page" w:x="1419" w:y="14097"/>
    </w:pPr>
  </w:style>
  <w:style w:type="paragraph" w:customStyle="1" w:styleId="197">
    <w:name w:val="其他实施日期"/>
    <w:basedOn w:val="162"/>
    <w:qFormat/>
    <w:uiPriority w:val="0"/>
    <w:pPr>
      <w:framePr w:w="3997" w:h="471" w:hRule="exact" w:vSpace="181" w:vAnchor="page" w:hAnchor="page" w:x="7089" w:y="14097"/>
    </w:pPr>
  </w:style>
  <w:style w:type="paragraph" w:customStyle="1" w:styleId="198">
    <w:name w:val="标准文件_文件编号"/>
    <w:basedOn w:val="3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37"/>
    <w:next w:val="3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37"/>
    <w:next w:val="37"/>
    <w:qFormat/>
    <w:uiPriority w:val="0"/>
    <w:pPr>
      <w:numPr>
        <w:ilvl w:val="0"/>
        <w:numId w:val="8"/>
      </w:numPr>
      <w:spacing w:line="14" w:lineRule="exact"/>
      <w:ind w:firstLine="0" w:firstLineChars="0"/>
      <w:jc w:val="center"/>
    </w:pPr>
    <w:rPr>
      <w:rFonts w:ascii="黑体" w:hAnsi="黑体" w:eastAsia="黑体"/>
      <w:vanish/>
      <w:sz w:val="2"/>
      <w:szCs w:val="21"/>
    </w:rPr>
  </w:style>
  <w:style w:type="paragraph" w:customStyle="1" w:styleId="202">
    <w:name w:val="标准文件_引言一级条标题"/>
    <w:basedOn w:val="37"/>
    <w:next w:val="37"/>
    <w:qFormat/>
    <w:uiPriority w:val="0"/>
    <w:pPr>
      <w:numPr>
        <w:ilvl w:val="1"/>
        <w:numId w:val="10"/>
      </w:numPr>
      <w:spacing w:beforeLines="50" w:afterLines="50"/>
      <w:ind w:firstLineChars="0"/>
    </w:pPr>
    <w:rPr>
      <w:rFonts w:ascii="黑体" w:eastAsia="黑体"/>
    </w:rPr>
  </w:style>
  <w:style w:type="paragraph" w:customStyle="1" w:styleId="203">
    <w:name w:val="标准文件_引言二级条标题"/>
    <w:basedOn w:val="37"/>
    <w:next w:val="37"/>
    <w:qFormat/>
    <w:uiPriority w:val="0"/>
    <w:pPr>
      <w:numPr>
        <w:ilvl w:val="2"/>
        <w:numId w:val="10"/>
      </w:numPr>
      <w:spacing w:beforeLines="50" w:afterLines="50"/>
      <w:ind w:firstLineChars="0"/>
    </w:pPr>
    <w:rPr>
      <w:rFonts w:ascii="黑体" w:eastAsia="黑体"/>
    </w:rPr>
  </w:style>
  <w:style w:type="paragraph" w:customStyle="1" w:styleId="204">
    <w:name w:val="标准文件_引言三级条标题"/>
    <w:basedOn w:val="37"/>
    <w:next w:val="37"/>
    <w:qFormat/>
    <w:uiPriority w:val="0"/>
    <w:pPr>
      <w:numPr>
        <w:ilvl w:val="3"/>
        <w:numId w:val="10"/>
      </w:numPr>
      <w:spacing w:beforeLines="50" w:afterLines="50"/>
      <w:ind w:firstLineChars="0"/>
    </w:pPr>
    <w:rPr>
      <w:rFonts w:ascii="黑体" w:eastAsia="黑体"/>
    </w:rPr>
  </w:style>
  <w:style w:type="paragraph" w:customStyle="1" w:styleId="205">
    <w:name w:val="标准文件_引言四级条标题"/>
    <w:basedOn w:val="37"/>
    <w:next w:val="37"/>
    <w:qFormat/>
    <w:uiPriority w:val="0"/>
    <w:pPr>
      <w:numPr>
        <w:ilvl w:val="4"/>
        <w:numId w:val="10"/>
      </w:numPr>
      <w:spacing w:beforeLines="50" w:afterLines="50"/>
      <w:ind w:firstLineChars="0"/>
    </w:pPr>
    <w:rPr>
      <w:rFonts w:ascii="黑体" w:eastAsia="黑体"/>
    </w:rPr>
  </w:style>
  <w:style w:type="paragraph" w:customStyle="1" w:styleId="206">
    <w:name w:val="标准文件_引言五级条标题"/>
    <w:basedOn w:val="37"/>
    <w:next w:val="37"/>
    <w:qFormat/>
    <w:uiPriority w:val="0"/>
    <w:pPr>
      <w:numPr>
        <w:ilvl w:val="5"/>
        <w:numId w:val="10"/>
      </w:numPr>
      <w:spacing w:beforeLines="50" w:afterLines="50"/>
      <w:ind w:firstLineChars="0"/>
    </w:pPr>
    <w:rPr>
      <w:rFonts w:ascii="黑体" w:eastAsia="黑体"/>
    </w:rPr>
  </w:style>
  <w:style w:type="paragraph" w:customStyle="1" w:styleId="207">
    <w:name w:val="标准文件_注后"/>
    <w:basedOn w:val="37"/>
    <w:qFormat/>
    <w:uiPriority w:val="0"/>
    <w:pPr>
      <w:ind w:left="811" w:firstLine="0" w:firstLineChars="0"/>
    </w:pPr>
    <w:rPr>
      <w:sz w:val="18"/>
    </w:rPr>
  </w:style>
  <w:style w:type="paragraph" w:customStyle="1" w:styleId="208">
    <w:name w:val="标准文件_注X后"/>
    <w:basedOn w:val="37"/>
    <w:qFormat/>
    <w:uiPriority w:val="0"/>
    <w:pPr>
      <w:ind w:left="811" w:firstLine="0" w:firstLineChars="0"/>
    </w:pPr>
    <w:rPr>
      <w:sz w:val="18"/>
    </w:rPr>
  </w:style>
  <w:style w:type="paragraph" w:customStyle="1" w:styleId="209">
    <w:name w:val="标准文件_示例后"/>
    <w:basedOn w:val="37"/>
    <w:qFormat/>
    <w:uiPriority w:val="0"/>
    <w:pPr>
      <w:ind w:left="964" w:firstLine="0" w:firstLineChars="0"/>
    </w:pPr>
    <w:rPr>
      <w:sz w:val="18"/>
    </w:rPr>
  </w:style>
  <w:style w:type="paragraph" w:customStyle="1" w:styleId="210">
    <w:name w:val="标准文件_示例X后"/>
    <w:basedOn w:val="37"/>
    <w:link w:val="211"/>
    <w:qFormat/>
    <w:uiPriority w:val="0"/>
    <w:pPr>
      <w:ind w:left="1049" w:firstLine="0" w:firstLineChars="0"/>
    </w:pPr>
    <w:rPr>
      <w:sz w:val="18"/>
    </w:rPr>
  </w:style>
  <w:style w:type="character" w:customStyle="1" w:styleId="211">
    <w:name w:val="标准文件_示例X后 字符"/>
    <w:basedOn w:val="187"/>
    <w:link w:val="210"/>
    <w:qFormat/>
    <w:uiPriority w:val="0"/>
    <w:rPr>
      <w:rFonts w:ascii="宋体" w:hAnsi="Times New Roman"/>
      <w:sz w:val="18"/>
    </w:rPr>
  </w:style>
  <w:style w:type="paragraph" w:customStyle="1" w:styleId="212">
    <w:name w:val="标准文件_索引项"/>
    <w:basedOn w:val="37"/>
    <w:next w:val="37"/>
    <w:qFormat/>
    <w:uiPriority w:val="0"/>
    <w:pPr>
      <w:tabs>
        <w:tab w:val="right" w:leader="dot" w:pos="9356"/>
      </w:tabs>
      <w:ind w:left="210" w:hanging="210" w:firstLineChars="0"/>
      <w:jc w:val="left"/>
    </w:pPr>
  </w:style>
  <w:style w:type="paragraph" w:customStyle="1" w:styleId="213">
    <w:name w:val="标准文件_附录一级无标题"/>
    <w:basedOn w:val="43"/>
    <w:qFormat/>
    <w:uiPriority w:val="0"/>
    <w:pPr>
      <w:spacing w:beforeLines="0" w:afterLines="0" w:line="276" w:lineRule="auto"/>
      <w:outlineLvl w:val="9"/>
    </w:pPr>
    <w:rPr>
      <w:rFonts w:ascii="宋体" w:eastAsia="宋体"/>
    </w:rPr>
  </w:style>
  <w:style w:type="paragraph" w:customStyle="1" w:styleId="214">
    <w:name w:val="标准文件_附录二级无标题"/>
    <w:basedOn w:val="44"/>
    <w:qFormat/>
    <w:uiPriority w:val="0"/>
    <w:pPr>
      <w:spacing w:beforeLines="0" w:afterLines="0" w:line="276" w:lineRule="auto"/>
      <w:outlineLvl w:val="9"/>
    </w:pPr>
    <w:rPr>
      <w:rFonts w:ascii="宋体" w:eastAsia="宋体"/>
    </w:rPr>
  </w:style>
  <w:style w:type="paragraph" w:customStyle="1" w:styleId="215">
    <w:name w:val="标准文件_附录三级无标题"/>
    <w:basedOn w:val="52"/>
    <w:qFormat/>
    <w:uiPriority w:val="0"/>
    <w:pPr>
      <w:spacing w:beforeLines="0" w:afterLines="0" w:line="276" w:lineRule="auto"/>
      <w:outlineLvl w:val="9"/>
    </w:pPr>
    <w:rPr>
      <w:rFonts w:ascii="宋体" w:eastAsia="宋体"/>
    </w:rPr>
  </w:style>
  <w:style w:type="paragraph" w:customStyle="1" w:styleId="216">
    <w:name w:val="标准文件_附录四级无标题"/>
    <w:basedOn w:val="45"/>
    <w:qFormat/>
    <w:uiPriority w:val="0"/>
    <w:pPr>
      <w:spacing w:beforeLines="0" w:afterLines="0" w:line="276" w:lineRule="auto"/>
      <w:outlineLvl w:val="9"/>
    </w:pPr>
    <w:rPr>
      <w:rFonts w:ascii="宋体" w:eastAsia="宋体"/>
    </w:rPr>
  </w:style>
  <w:style w:type="paragraph" w:customStyle="1" w:styleId="217">
    <w:name w:val="标准文件_附录五级无标题"/>
    <w:basedOn w:val="4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37"/>
    <w:qFormat/>
    <w:uiPriority w:val="0"/>
    <w:pPr>
      <w:spacing w:beforeLines="0" w:afterLines="0" w:line="276" w:lineRule="auto"/>
    </w:pPr>
    <w:rPr>
      <w:rFonts w:ascii="宋体" w:eastAsia="宋体"/>
    </w:rPr>
  </w:style>
  <w:style w:type="paragraph" w:customStyle="1" w:styleId="219">
    <w:name w:val="标准文件_引言二级无标题"/>
    <w:basedOn w:val="203"/>
    <w:next w:val="37"/>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37"/>
    <w:qFormat/>
    <w:uiPriority w:val="0"/>
    <w:pPr>
      <w:spacing w:beforeLines="0" w:afterLines="0" w:line="276" w:lineRule="auto"/>
    </w:pPr>
    <w:rPr>
      <w:rFonts w:ascii="宋体" w:eastAsia="宋体"/>
    </w:rPr>
  </w:style>
  <w:style w:type="paragraph" w:customStyle="1" w:styleId="222">
    <w:name w:val="标准文件_引言五级无标题"/>
    <w:basedOn w:val="206"/>
    <w:next w:val="37"/>
    <w:qFormat/>
    <w:uiPriority w:val="0"/>
    <w:pPr>
      <w:spacing w:beforeLines="0" w:afterLines="0" w:line="276" w:lineRule="auto"/>
    </w:pPr>
    <w:rPr>
      <w:rFonts w:ascii="宋体" w:eastAsia="宋体"/>
    </w:rPr>
  </w:style>
  <w:style w:type="paragraph" w:customStyle="1" w:styleId="223">
    <w:name w:val="标准文件_索引标题"/>
    <w:basedOn w:val="85"/>
    <w:next w:val="37"/>
    <w:qFormat/>
    <w:uiPriority w:val="0"/>
    <w:rPr>
      <w:rFonts w:hAnsi="黑体"/>
    </w:rPr>
  </w:style>
  <w:style w:type="paragraph" w:customStyle="1" w:styleId="224">
    <w:name w:val="标准文件_脚注内容"/>
    <w:basedOn w:val="37"/>
    <w:qFormat/>
    <w:uiPriority w:val="0"/>
    <w:pPr>
      <w:ind w:left="400" w:leftChars="200" w:hanging="200" w:hangingChars="200"/>
    </w:pPr>
    <w:rPr>
      <w:sz w:val="15"/>
    </w:rPr>
  </w:style>
  <w:style w:type="paragraph" w:customStyle="1" w:styleId="225">
    <w:name w:val="标准文件_术语条二"/>
    <w:basedOn w:val="172"/>
    <w:next w:val="37"/>
    <w:qFormat/>
    <w:uiPriority w:val="0"/>
  </w:style>
  <w:style w:type="paragraph" w:customStyle="1" w:styleId="226">
    <w:name w:val="标准文件_术语条三"/>
    <w:basedOn w:val="171"/>
    <w:next w:val="37"/>
    <w:qFormat/>
    <w:uiPriority w:val="0"/>
  </w:style>
  <w:style w:type="paragraph" w:customStyle="1" w:styleId="227">
    <w:name w:val="标准文件_术语条四"/>
    <w:basedOn w:val="174"/>
    <w:next w:val="37"/>
    <w:qFormat/>
    <w:uiPriority w:val="0"/>
  </w:style>
  <w:style w:type="paragraph" w:customStyle="1" w:styleId="228">
    <w:name w:val="标准文件_术语条五"/>
    <w:basedOn w:val="170"/>
    <w:next w:val="3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32">
    <w:name w:val="WPSOffice手动目录 1"/>
    <w:qFormat/>
    <w:uiPriority w:val="0"/>
    <w:pPr>
      <w:ind w:leftChars="0"/>
    </w:pPr>
    <w:rPr>
      <w:rFonts w:ascii="Times New Roman" w:hAnsi="Times New Roman" w:eastAsia="宋体" w:cs="Times New Roman"/>
      <w:sz w:val="20"/>
      <w:szCs w:val="20"/>
    </w:rPr>
  </w:style>
  <w:style w:type="paragraph" w:customStyle="1" w:styleId="23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ppy2000qi\Library\Containers\com.kingsoft.wpsoffice.mac\Data\D:\Users\happy2000qi\Library\Containers\com.kingsoft.wpsoffice.mac\Data\D:\Users\happy2000qi\Library\Containers\com.kingsoft.wpsoffice.mac\Data\C:\Users\happy2000qi\Library\Containers\com.kingsoft.wpsoffice.mac\Data\D:\Users\happy2000qi\Library\Containers\com.kingsoft.wpsoffice.mac\Data\D:\Users\happy2000qi\Library\Containers\com.kingsoft.wpsoffice.mac\Data\C:\Users\happy2000qi\Library\Containers\com.kingsoft.wpsoffice.mac\Data\C:\Users\happy2000qi\Library\Containers\com.kingsoft.wpsoffice.mac\Data\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1A6BF7337844C4AB24B64923ED78362"/>
        <w:style w:val=""/>
        <w:category>
          <w:name w:val="常规"/>
          <w:gallery w:val="placeholder"/>
        </w:category>
        <w:types>
          <w:type w:val="bbPlcHdr"/>
        </w:types>
        <w:behaviors>
          <w:behavior w:val="content"/>
        </w:behaviors>
        <w:description w:val=""/>
        <w:guid w:val="{3DB254F8-6B99-4DB9-9445-AA5E823B6C2E}"/>
      </w:docPartPr>
      <w:docPartBody>
        <w:p w14:paraId="629AE037">
          <w:pPr>
            <w:pStyle w:val="5"/>
          </w:pPr>
          <w:r>
            <w:rPr>
              <w:rStyle w:val="4"/>
              <w:rFonts w:hint="eastAsia"/>
            </w:rPr>
            <w:t>单击或点击此处输入文字。</w:t>
          </w:r>
        </w:p>
      </w:docPartBody>
    </w:docPart>
    <w:docPart>
      <w:docPartPr>
        <w:name w:val="7CEAB962C1AD44DC8D2BC10E70AC840C"/>
        <w:style w:val=""/>
        <w:category>
          <w:name w:val="常规"/>
          <w:gallery w:val="placeholder"/>
        </w:category>
        <w:types>
          <w:type w:val="bbPlcHdr"/>
        </w:types>
        <w:behaviors>
          <w:behavior w:val="content"/>
        </w:behaviors>
        <w:description w:val=""/>
        <w:guid w:val="{FD65E775-980D-4DC7-BF2F-F3658704EED8}"/>
      </w:docPartPr>
      <w:docPartBody>
        <w:p w14:paraId="7CB45B9F">
          <w:pPr>
            <w:pStyle w:val="6"/>
          </w:pPr>
          <w:r>
            <w:rPr>
              <w:rStyle w:val="4"/>
              <w:rFonts w:hint="eastAsia"/>
            </w:rPr>
            <w:t>选择一项。</w:t>
          </w:r>
        </w:p>
      </w:docPartBody>
    </w:docPart>
    <w:docPart>
      <w:docPartPr>
        <w:name w:val="FC8DA23904774BA79D9386B4AB058F38"/>
        <w:style w:val=""/>
        <w:category>
          <w:name w:val="常规"/>
          <w:gallery w:val="placeholder"/>
        </w:category>
        <w:types>
          <w:type w:val="bbPlcHdr"/>
        </w:types>
        <w:behaviors>
          <w:behavior w:val="content"/>
        </w:behaviors>
        <w:description w:val=""/>
        <w:guid w:val="{C5E51A06-481D-4B88-ACC5-D16876704120}"/>
      </w:docPartPr>
      <w:docPartBody>
        <w:p w14:paraId="3B50B19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099E"/>
    <w:rsid w:val="0020099E"/>
    <w:rsid w:val="00415182"/>
    <w:rsid w:val="00880C0E"/>
    <w:rsid w:val="00884A1A"/>
    <w:rsid w:val="008D2A4F"/>
    <w:rsid w:val="00A16CBB"/>
    <w:rsid w:val="00AD7098"/>
    <w:rsid w:val="00F27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81A6BF7337844C4AB24B64923ED7836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EAB962C1AD44DC8D2BC10E70AC84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C8DA23904774BA79D9386B4AB058F3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textRotate="1"/>
    <customShpInfo spid="_x0000_s2055" textRotate="1"/>
    <customShpInfo spid="_x0000_s2051" textRotate="1"/>
    <customShpInfo spid="_x0000_s2056"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4993</Words>
  <Characters>6188</Characters>
  <Lines>107</Lines>
  <Paragraphs>30</Paragraphs>
  <TotalTime>5</TotalTime>
  <ScaleCrop>false</ScaleCrop>
  <LinksUpToDate>false</LinksUpToDate>
  <CharactersWithSpaces>6415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2023-01-16T06:19:00Z</dcterms:created>
  <dc:creator>Lenovo</dc:creator>
  <dc:description>&lt;config cover="true" show_menu="true" version="1.0.0" doctype="SDKXY"&gt;_x000d_
&lt;/config&gt;</dc:description>
  <cp:lastModifiedBy>。</cp:lastModifiedBy>
  <cp:lastPrinted>2024-02-06T16:57:00Z</cp:lastPrinted>
  <dcterms:modified xsi:type="dcterms:W3CDTF">2024-07-22T08:11:30Z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FE2A18F0583E4B14987D9FD3A8515C27</vt:lpwstr>
  </property>
</Properties>
</file>